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BC565" w14:textId="369A7928" w:rsidR="007968FE" w:rsidRPr="002841AB" w:rsidRDefault="00B03EA3" w:rsidP="00B03EA3">
      <w:pPr>
        <w:pStyle w:val="Title"/>
        <w:spacing w:after="1080"/>
      </w:pPr>
      <w:r w:rsidRPr="00B03EA3">
        <w:t>Mallee</w:t>
      </w:r>
      <w:r>
        <w:t xml:space="preserve"> </w:t>
      </w:r>
      <w:r w:rsidR="002841AB" w:rsidRPr="002841AB">
        <w:t>Climate Projections 2024</w:t>
      </w:r>
    </w:p>
    <w:p w14:paraId="7E508A88" w14:textId="77777777" w:rsidR="00A51AD4" w:rsidRDefault="00A51AD4" w:rsidP="00A51AD4">
      <w:pPr>
        <w:pStyle w:val="TOAHeading"/>
      </w:pPr>
      <w:r>
        <w:t>Table of Contents</w:t>
      </w:r>
    </w:p>
    <w:p w14:paraId="4B324ED2" w14:textId="1C57C305" w:rsidR="001F64C2" w:rsidRDefault="00A471F2">
      <w:pPr>
        <w:pStyle w:val="TOC1"/>
        <w:tabs>
          <w:tab w:val="right" w:leader="dot" w:pos="9628"/>
        </w:tabs>
        <w:rPr>
          <w:rFonts w:asciiTheme="minorHAnsi" w:hAnsiTheme="minorHAnsi" w:cstheme="minorBidi"/>
          <w:bCs w:val="0"/>
          <w:noProof/>
          <w:kern w:val="2"/>
          <w14:ligatures w14:val="standardContextual"/>
        </w:rPr>
      </w:pPr>
      <w:r>
        <w:rPr>
          <w:rFonts w:cstheme="majorHAnsi"/>
          <w:sz w:val="28"/>
        </w:rPr>
        <w:fldChar w:fldCharType="begin"/>
      </w:r>
      <w:r>
        <w:rPr>
          <w:rFonts w:cstheme="majorHAnsi"/>
          <w:sz w:val="28"/>
        </w:rPr>
        <w:instrText xml:space="preserve"> TOC \o "1-1" \h \z \u </w:instrText>
      </w:r>
      <w:r>
        <w:rPr>
          <w:rFonts w:cstheme="majorHAnsi"/>
          <w:sz w:val="28"/>
        </w:rPr>
        <w:fldChar w:fldCharType="separate"/>
      </w:r>
      <w:hyperlink w:anchor="_Toc189831232" w:history="1">
        <w:r w:rsidR="001F64C2" w:rsidRPr="00EA4C87">
          <w:rPr>
            <w:rStyle w:val="Hyperlink"/>
            <w:noProof/>
          </w:rPr>
          <w:t>The climate of Mallee has already changed and will continue to change</w:t>
        </w:r>
        <w:r w:rsidR="001F64C2">
          <w:rPr>
            <w:noProof/>
            <w:webHidden/>
          </w:rPr>
          <w:tab/>
        </w:r>
        <w:r w:rsidR="001F64C2">
          <w:rPr>
            <w:noProof/>
            <w:webHidden/>
          </w:rPr>
          <w:fldChar w:fldCharType="begin"/>
        </w:r>
        <w:r w:rsidR="001F64C2">
          <w:rPr>
            <w:noProof/>
            <w:webHidden/>
          </w:rPr>
          <w:instrText xml:space="preserve"> PAGEREF _Toc189831232 \h </w:instrText>
        </w:r>
        <w:r w:rsidR="001F64C2">
          <w:rPr>
            <w:noProof/>
            <w:webHidden/>
          </w:rPr>
        </w:r>
        <w:r w:rsidR="001F64C2">
          <w:rPr>
            <w:noProof/>
            <w:webHidden/>
          </w:rPr>
          <w:fldChar w:fldCharType="separate"/>
        </w:r>
        <w:r w:rsidR="001F64C2">
          <w:rPr>
            <w:noProof/>
            <w:webHidden/>
          </w:rPr>
          <w:t>1</w:t>
        </w:r>
        <w:r w:rsidR="001F64C2">
          <w:rPr>
            <w:noProof/>
            <w:webHidden/>
          </w:rPr>
          <w:fldChar w:fldCharType="end"/>
        </w:r>
      </w:hyperlink>
    </w:p>
    <w:p w14:paraId="64069E3C" w14:textId="606C0DB8" w:rsidR="001F64C2" w:rsidRDefault="001F64C2">
      <w:pPr>
        <w:pStyle w:val="TOC1"/>
        <w:tabs>
          <w:tab w:val="right" w:leader="dot" w:pos="9628"/>
        </w:tabs>
        <w:rPr>
          <w:rFonts w:asciiTheme="minorHAnsi" w:hAnsiTheme="minorHAnsi" w:cstheme="minorBidi"/>
          <w:bCs w:val="0"/>
          <w:noProof/>
          <w:kern w:val="2"/>
          <w14:ligatures w14:val="standardContextual"/>
        </w:rPr>
      </w:pPr>
      <w:hyperlink w:anchor="_Toc189831233" w:history="1">
        <w:r w:rsidRPr="00EA4C87">
          <w:rPr>
            <w:rStyle w:val="Hyperlink"/>
            <w:noProof/>
          </w:rPr>
          <w:t>About these projections</w:t>
        </w:r>
        <w:r>
          <w:rPr>
            <w:noProof/>
            <w:webHidden/>
          </w:rPr>
          <w:tab/>
        </w:r>
        <w:r>
          <w:rPr>
            <w:noProof/>
            <w:webHidden/>
          </w:rPr>
          <w:fldChar w:fldCharType="begin"/>
        </w:r>
        <w:r>
          <w:rPr>
            <w:noProof/>
            <w:webHidden/>
          </w:rPr>
          <w:instrText xml:space="preserve"> PAGEREF _Toc189831233 \h </w:instrText>
        </w:r>
        <w:r>
          <w:rPr>
            <w:noProof/>
            <w:webHidden/>
          </w:rPr>
        </w:r>
        <w:r>
          <w:rPr>
            <w:noProof/>
            <w:webHidden/>
          </w:rPr>
          <w:fldChar w:fldCharType="separate"/>
        </w:r>
        <w:r>
          <w:rPr>
            <w:noProof/>
            <w:webHidden/>
          </w:rPr>
          <w:t>2</w:t>
        </w:r>
        <w:r>
          <w:rPr>
            <w:noProof/>
            <w:webHidden/>
          </w:rPr>
          <w:fldChar w:fldCharType="end"/>
        </w:r>
      </w:hyperlink>
    </w:p>
    <w:p w14:paraId="6CF15CBB" w14:textId="16C25ADB" w:rsidR="001F64C2" w:rsidRDefault="001F64C2">
      <w:pPr>
        <w:pStyle w:val="TOC1"/>
        <w:tabs>
          <w:tab w:val="right" w:leader="dot" w:pos="9628"/>
        </w:tabs>
        <w:rPr>
          <w:rFonts w:asciiTheme="minorHAnsi" w:hAnsiTheme="minorHAnsi" w:cstheme="minorBidi"/>
          <w:bCs w:val="0"/>
          <w:noProof/>
          <w:kern w:val="2"/>
          <w14:ligatures w14:val="standardContextual"/>
        </w:rPr>
      </w:pPr>
      <w:hyperlink w:anchor="_Toc189831234" w:history="1">
        <w:r w:rsidRPr="00EA4C87">
          <w:rPr>
            <w:rStyle w:val="Hyperlink"/>
            <w:noProof/>
          </w:rPr>
          <w:t>Mallee’s climate will continue to get warmer</w:t>
        </w:r>
        <w:r>
          <w:rPr>
            <w:noProof/>
            <w:webHidden/>
          </w:rPr>
          <w:tab/>
        </w:r>
        <w:r>
          <w:rPr>
            <w:noProof/>
            <w:webHidden/>
          </w:rPr>
          <w:fldChar w:fldCharType="begin"/>
        </w:r>
        <w:r>
          <w:rPr>
            <w:noProof/>
            <w:webHidden/>
          </w:rPr>
          <w:instrText xml:space="preserve"> PAGEREF _Toc189831234 \h </w:instrText>
        </w:r>
        <w:r>
          <w:rPr>
            <w:noProof/>
            <w:webHidden/>
          </w:rPr>
        </w:r>
        <w:r>
          <w:rPr>
            <w:noProof/>
            <w:webHidden/>
          </w:rPr>
          <w:fldChar w:fldCharType="separate"/>
        </w:r>
        <w:r>
          <w:rPr>
            <w:noProof/>
            <w:webHidden/>
          </w:rPr>
          <w:t>4</w:t>
        </w:r>
        <w:r>
          <w:rPr>
            <w:noProof/>
            <w:webHidden/>
          </w:rPr>
          <w:fldChar w:fldCharType="end"/>
        </w:r>
      </w:hyperlink>
    </w:p>
    <w:p w14:paraId="027F5238" w14:textId="171509B5" w:rsidR="001F64C2" w:rsidRDefault="001F64C2">
      <w:pPr>
        <w:pStyle w:val="TOC1"/>
        <w:tabs>
          <w:tab w:val="right" w:leader="dot" w:pos="9628"/>
        </w:tabs>
        <w:rPr>
          <w:rFonts w:asciiTheme="minorHAnsi" w:hAnsiTheme="minorHAnsi" w:cstheme="minorBidi"/>
          <w:bCs w:val="0"/>
          <w:noProof/>
          <w:kern w:val="2"/>
          <w14:ligatures w14:val="standardContextual"/>
        </w:rPr>
      </w:pPr>
      <w:hyperlink w:anchor="_Toc189831235" w:history="1">
        <w:r w:rsidRPr="00EA4C87">
          <w:rPr>
            <w:rStyle w:val="Hyperlink"/>
            <w:noProof/>
          </w:rPr>
          <w:t>Heat extremes in Mallee region will continue to become hotter and more frequent</w:t>
        </w:r>
        <w:r>
          <w:rPr>
            <w:noProof/>
            <w:webHidden/>
          </w:rPr>
          <w:tab/>
        </w:r>
        <w:r>
          <w:rPr>
            <w:noProof/>
            <w:webHidden/>
          </w:rPr>
          <w:fldChar w:fldCharType="begin"/>
        </w:r>
        <w:r>
          <w:rPr>
            <w:noProof/>
            <w:webHidden/>
          </w:rPr>
          <w:instrText xml:space="preserve"> PAGEREF _Toc189831235 \h </w:instrText>
        </w:r>
        <w:r>
          <w:rPr>
            <w:noProof/>
            <w:webHidden/>
          </w:rPr>
        </w:r>
        <w:r>
          <w:rPr>
            <w:noProof/>
            <w:webHidden/>
          </w:rPr>
          <w:fldChar w:fldCharType="separate"/>
        </w:r>
        <w:r>
          <w:rPr>
            <w:noProof/>
            <w:webHidden/>
          </w:rPr>
          <w:t>6</w:t>
        </w:r>
        <w:r>
          <w:rPr>
            <w:noProof/>
            <w:webHidden/>
          </w:rPr>
          <w:fldChar w:fldCharType="end"/>
        </w:r>
      </w:hyperlink>
    </w:p>
    <w:p w14:paraId="6981F18D" w14:textId="790EF5FA" w:rsidR="001F64C2" w:rsidRDefault="001F64C2">
      <w:pPr>
        <w:pStyle w:val="TOC1"/>
        <w:tabs>
          <w:tab w:val="right" w:leader="dot" w:pos="9628"/>
        </w:tabs>
        <w:rPr>
          <w:rFonts w:asciiTheme="minorHAnsi" w:hAnsiTheme="minorHAnsi" w:cstheme="minorBidi"/>
          <w:bCs w:val="0"/>
          <w:noProof/>
          <w:kern w:val="2"/>
          <w14:ligatures w14:val="standardContextual"/>
        </w:rPr>
      </w:pPr>
      <w:hyperlink w:anchor="_Toc189831236" w:history="1">
        <w:r w:rsidRPr="00EA4C87">
          <w:rPr>
            <w:rStyle w:val="Hyperlink"/>
            <w:noProof/>
          </w:rPr>
          <w:t>Rainfall across Mallee will continue to change</w:t>
        </w:r>
        <w:r>
          <w:rPr>
            <w:noProof/>
            <w:webHidden/>
          </w:rPr>
          <w:tab/>
        </w:r>
        <w:r>
          <w:rPr>
            <w:noProof/>
            <w:webHidden/>
          </w:rPr>
          <w:fldChar w:fldCharType="begin"/>
        </w:r>
        <w:r>
          <w:rPr>
            <w:noProof/>
            <w:webHidden/>
          </w:rPr>
          <w:instrText xml:space="preserve"> PAGEREF _Toc189831236 \h </w:instrText>
        </w:r>
        <w:r>
          <w:rPr>
            <w:noProof/>
            <w:webHidden/>
          </w:rPr>
        </w:r>
        <w:r>
          <w:rPr>
            <w:noProof/>
            <w:webHidden/>
          </w:rPr>
          <w:fldChar w:fldCharType="separate"/>
        </w:r>
        <w:r>
          <w:rPr>
            <w:noProof/>
            <w:webHidden/>
          </w:rPr>
          <w:t>9</w:t>
        </w:r>
        <w:r>
          <w:rPr>
            <w:noProof/>
            <w:webHidden/>
          </w:rPr>
          <w:fldChar w:fldCharType="end"/>
        </w:r>
      </w:hyperlink>
    </w:p>
    <w:p w14:paraId="391CABCE" w14:textId="63A3FD2E" w:rsidR="001F64C2" w:rsidRDefault="001F64C2">
      <w:pPr>
        <w:pStyle w:val="TOC1"/>
        <w:tabs>
          <w:tab w:val="right" w:leader="dot" w:pos="9628"/>
        </w:tabs>
        <w:rPr>
          <w:rFonts w:asciiTheme="minorHAnsi" w:hAnsiTheme="minorHAnsi" w:cstheme="minorBidi"/>
          <w:bCs w:val="0"/>
          <w:noProof/>
          <w:kern w:val="2"/>
          <w14:ligatures w14:val="standardContextual"/>
        </w:rPr>
      </w:pPr>
      <w:hyperlink w:anchor="_Toc189831237" w:history="1">
        <w:r w:rsidRPr="00EA4C87">
          <w:rPr>
            <w:rStyle w:val="Hyperlink"/>
            <w:noProof/>
          </w:rPr>
          <w:t>Extreme rainfall events are expected to intensify</w:t>
        </w:r>
        <w:r>
          <w:rPr>
            <w:noProof/>
            <w:webHidden/>
          </w:rPr>
          <w:tab/>
        </w:r>
        <w:r>
          <w:rPr>
            <w:noProof/>
            <w:webHidden/>
          </w:rPr>
          <w:fldChar w:fldCharType="begin"/>
        </w:r>
        <w:r>
          <w:rPr>
            <w:noProof/>
            <w:webHidden/>
          </w:rPr>
          <w:instrText xml:space="preserve"> PAGEREF _Toc189831237 \h </w:instrText>
        </w:r>
        <w:r>
          <w:rPr>
            <w:noProof/>
            <w:webHidden/>
          </w:rPr>
        </w:r>
        <w:r>
          <w:rPr>
            <w:noProof/>
            <w:webHidden/>
          </w:rPr>
          <w:fldChar w:fldCharType="separate"/>
        </w:r>
        <w:r>
          <w:rPr>
            <w:noProof/>
            <w:webHidden/>
          </w:rPr>
          <w:t>11</w:t>
        </w:r>
        <w:r>
          <w:rPr>
            <w:noProof/>
            <w:webHidden/>
          </w:rPr>
          <w:fldChar w:fldCharType="end"/>
        </w:r>
      </w:hyperlink>
    </w:p>
    <w:p w14:paraId="1BF7D8CD" w14:textId="546C43DD" w:rsidR="001F64C2" w:rsidRDefault="001F64C2">
      <w:pPr>
        <w:pStyle w:val="TOC1"/>
        <w:tabs>
          <w:tab w:val="right" w:leader="dot" w:pos="9628"/>
        </w:tabs>
        <w:rPr>
          <w:rFonts w:asciiTheme="minorHAnsi" w:hAnsiTheme="minorHAnsi" w:cstheme="minorBidi"/>
          <w:bCs w:val="0"/>
          <w:noProof/>
          <w:kern w:val="2"/>
          <w14:ligatures w14:val="standardContextual"/>
        </w:rPr>
      </w:pPr>
      <w:hyperlink w:anchor="_Toc189831238" w:history="1">
        <w:r w:rsidRPr="00EA4C87">
          <w:rPr>
            <w:rStyle w:val="Hyperlink"/>
            <w:noProof/>
          </w:rPr>
          <w:t>Victoria is likely to experience fewer frosts</w:t>
        </w:r>
        <w:r>
          <w:rPr>
            <w:noProof/>
            <w:webHidden/>
          </w:rPr>
          <w:tab/>
        </w:r>
        <w:r>
          <w:rPr>
            <w:noProof/>
            <w:webHidden/>
          </w:rPr>
          <w:fldChar w:fldCharType="begin"/>
        </w:r>
        <w:r>
          <w:rPr>
            <w:noProof/>
            <w:webHidden/>
          </w:rPr>
          <w:instrText xml:space="preserve"> PAGEREF _Toc189831238 \h </w:instrText>
        </w:r>
        <w:r>
          <w:rPr>
            <w:noProof/>
            <w:webHidden/>
          </w:rPr>
        </w:r>
        <w:r>
          <w:rPr>
            <w:noProof/>
            <w:webHidden/>
          </w:rPr>
          <w:fldChar w:fldCharType="separate"/>
        </w:r>
        <w:r>
          <w:rPr>
            <w:noProof/>
            <w:webHidden/>
          </w:rPr>
          <w:t>13</w:t>
        </w:r>
        <w:r>
          <w:rPr>
            <w:noProof/>
            <w:webHidden/>
          </w:rPr>
          <w:fldChar w:fldCharType="end"/>
        </w:r>
      </w:hyperlink>
    </w:p>
    <w:p w14:paraId="0E44F795" w14:textId="34D7EB40" w:rsidR="001F64C2" w:rsidRDefault="001F64C2">
      <w:pPr>
        <w:pStyle w:val="TOC1"/>
        <w:tabs>
          <w:tab w:val="right" w:leader="dot" w:pos="9628"/>
        </w:tabs>
        <w:rPr>
          <w:rFonts w:asciiTheme="minorHAnsi" w:hAnsiTheme="minorHAnsi" w:cstheme="minorBidi"/>
          <w:bCs w:val="0"/>
          <w:noProof/>
          <w:kern w:val="2"/>
          <w14:ligatures w14:val="standardContextual"/>
        </w:rPr>
      </w:pPr>
      <w:hyperlink w:anchor="_Toc189831239" w:history="1">
        <w:r w:rsidRPr="00EA4C87">
          <w:rPr>
            <w:rStyle w:val="Hyperlink"/>
            <w:noProof/>
          </w:rPr>
          <w:t>Victoria is likely to experience an increase in fire weather</w:t>
        </w:r>
        <w:r>
          <w:rPr>
            <w:noProof/>
            <w:webHidden/>
          </w:rPr>
          <w:tab/>
        </w:r>
        <w:r>
          <w:rPr>
            <w:noProof/>
            <w:webHidden/>
          </w:rPr>
          <w:fldChar w:fldCharType="begin"/>
        </w:r>
        <w:r>
          <w:rPr>
            <w:noProof/>
            <w:webHidden/>
          </w:rPr>
          <w:instrText xml:space="preserve"> PAGEREF _Toc189831239 \h </w:instrText>
        </w:r>
        <w:r>
          <w:rPr>
            <w:noProof/>
            <w:webHidden/>
          </w:rPr>
        </w:r>
        <w:r>
          <w:rPr>
            <w:noProof/>
            <w:webHidden/>
          </w:rPr>
          <w:fldChar w:fldCharType="separate"/>
        </w:r>
        <w:r>
          <w:rPr>
            <w:noProof/>
            <w:webHidden/>
          </w:rPr>
          <w:t>13</w:t>
        </w:r>
        <w:r>
          <w:rPr>
            <w:noProof/>
            <w:webHidden/>
          </w:rPr>
          <w:fldChar w:fldCharType="end"/>
        </w:r>
      </w:hyperlink>
    </w:p>
    <w:p w14:paraId="06DAD112" w14:textId="1B022052" w:rsidR="001F64C2" w:rsidRDefault="001F64C2">
      <w:pPr>
        <w:pStyle w:val="TOC1"/>
        <w:tabs>
          <w:tab w:val="right" w:leader="dot" w:pos="9628"/>
        </w:tabs>
        <w:rPr>
          <w:rFonts w:asciiTheme="minorHAnsi" w:hAnsiTheme="minorHAnsi" w:cstheme="minorBidi"/>
          <w:bCs w:val="0"/>
          <w:noProof/>
          <w:kern w:val="2"/>
          <w14:ligatures w14:val="standardContextual"/>
        </w:rPr>
      </w:pPr>
      <w:hyperlink w:anchor="_Toc189831240" w:history="1">
        <w:r w:rsidRPr="00EA4C87">
          <w:rPr>
            <w:rStyle w:val="Hyperlink"/>
            <w:noProof/>
          </w:rPr>
          <w:t>Flooding patterns in Victoria are likely to change</w:t>
        </w:r>
        <w:r>
          <w:rPr>
            <w:noProof/>
            <w:webHidden/>
          </w:rPr>
          <w:tab/>
        </w:r>
        <w:r>
          <w:rPr>
            <w:noProof/>
            <w:webHidden/>
          </w:rPr>
          <w:fldChar w:fldCharType="begin"/>
        </w:r>
        <w:r>
          <w:rPr>
            <w:noProof/>
            <w:webHidden/>
          </w:rPr>
          <w:instrText xml:space="preserve"> PAGEREF _Toc189831240 \h </w:instrText>
        </w:r>
        <w:r>
          <w:rPr>
            <w:noProof/>
            <w:webHidden/>
          </w:rPr>
        </w:r>
        <w:r>
          <w:rPr>
            <w:noProof/>
            <w:webHidden/>
          </w:rPr>
          <w:fldChar w:fldCharType="separate"/>
        </w:r>
        <w:r>
          <w:rPr>
            <w:noProof/>
            <w:webHidden/>
          </w:rPr>
          <w:t>14</w:t>
        </w:r>
        <w:r>
          <w:rPr>
            <w:noProof/>
            <w:webHidden/>
          </w:rPr>
          <w:fldChar w:fldCharType="end"/>
        </w:r>
      </w:hyperlink>
    </w:p>
    <w:p w14:paraId="13934D06" w14:textId="56B26BAB" w:rsidR="001F64C2" w:rsidRDefault="001F64C2">
      <w:pPr>
        <w:pStyle w:val="TOC1"/>
        <w:tabs>
          <w:tab w:val="right" w:leader="dot" w:pos="9628"/>
        </w:tabs>
        <w:rPr>
          <w:rFonts w:asciiTheme="minorHAnsi" w:hAnsiTheme="minorHAnsi" w:cstheme="minorBidi"/>
          <w:bCs w:val="0"/>
          <w:noProof/>
          <w:kern w:val="2"/>
          <w14:ligatures w14:val="standardContextual"/>
        </w:rPr>
      </w:pPr>
      <w:hyperlink w:anchor="_Toc189831241" w:history="1">
        <w:r w:rsidRPr="00EA4C87">
          <w:rPr>
            <w:rStyle w:val="Hyperlink"/>
            <w:noProof/>
          </w:rPr>
          <w:t>Table of projected changes in key climate variables</w:t>
        </w:r>
        <w:r>
          <w:rPr>
            <w:noProof/>
            <w:webHidden/>
          </w:rPr>
          <w:tab/>
        </w:r>
        <w:r>
          <w:rPr>
            <w:noProof/>
            <w:webHidden/>
          </w:rPr>
          <w:fldChar w:fldCharType="begin"/>
        </w:r>
        <w:r>
          <w:rPr>
            <w:noProof/>
            <w:webHidden/>
          </w:rPr>
          <w:instrText xml:space="preserve"> PAGEREF _Toc189831241 \h </w:instrText>
        </w:r>
        <w:r>
          <w:rPr>
            <w:noProof/>
            <w:webHidden/>
          </w:rPr>
        </w:r>
        <w:r>
          <w:rPr>
            <w:noProof/>
            <w:webHidden/>
          </w:rPr>
          <w:fldChar w:fldCharType="separate"/>
        </w:r>
        <w:r>
          <w:rPr>
            <w:noProof/>
            <w:webHidden/>
          </w:rPr>
          <w:t>15</w:t>
        </w:r>
        <w:r>
          <w:rPr>
            <w:noProof/>
            <w:webHidden/>
          </w:rPr>
          <w:fldChar w:fldCharType="end"/>
        </w:r>
      </w:hyperlink>
    </w:p>
    <w:p w14:paraId="14FE9C79" w14:textId="6E8C42DD" w:rsidR="001F64C2" w:rsidRDefault="001F64C2">
      <w:pPr>
        <w:pStyle w:val="TOC1"/>
        <w:tabs>
          <w:tab w:val="right" w:leader="dot" w:pos="9628"/>
        </w:tabs>
        <w:rPr>
          <w:rFonts w:asciiTheme="minorHAnsi" w:hAnsiTheme="minorHAnsi" w:cstheme="minorBidi"/>
          <w:bCs w:val="0"/>
          <w:noProof/>
          <w:kern w:val="2"/>
          <w14:ligatures w14:val="standardContextual"/>
        </w:rPr>
      </w:pPr>
      <w:hyperlink w:anchor="_Toc189831242" w:history="1">
        <w:r w:rsidRPr="00EA4C87">
          <w:rPr>
            <w:rStyle w:val="Hyperlink"/>
            <w:noProof/>
          </w:rPr>
          <w:t>Interpreting the projections figures</w:t>
        </w:r>
        <w:r>
          <w:rPr>
            <w:noProof/>
            <w:webHidden/>
          </w:rPr>
          <w:tab/>
        </w:r>
        <w:r>
          <w:rPr>
            <w:noProof/>
            <w:webHidden/>
          </w:rPr>
          <w:fldChar w:fldCharType="begin"/>
        </w:r>
        <w:r>
          <w:rPr>
            <w:noProof/>
            <w:webHidden/>
          </w:rPr>
          <w:instrText xml:space="preserve"> PAGEREF _Toc189831242 \h </w:instrText>
        </w:r>
        <w:r>
          <w:rPr>
            <w:noProof/>
            <w:webHidden/>
          </w:rPr>
        </w:r>
        <w:r>
          <w:rPr>
            <w:noProof/>
            <w:webHidden/>
          </w:rPr>
          <w:fldChar w:fldCharType="separate"/>
        </w:r>
        <w:r>
          <w:rPr>
            <w:noProof/>
            <w:webHidden/>
          </w:rPr>
          <w:t>17</w:t>
        </w:r>
        <w:r>
          <w:rPr>
            <w:noProof/>
            <w:webHidden/>
          </w:rPr>
          <w:fldChar w:fldCharType="end"/>
        </w:r>
      </w:hyperlink>
    </w:p>
    <w:p w14:paraId="06C597C4" w14:textId="47BEECEC" w:rsidR="001F64C2" w:rsidRDefault="001F64C2">
      <w:pPr>
        <w:pStyle w:val="TOC1"/>
        <w:tabs>
          <w:tab w:val="right" w:leader="dot" w:pos="9628"/>
        </w:tabs>
        <w:rPr>
          <w:rFonts w:asciiTheme="minorHAnsi" w:hAnsiTheme="minorHAnsi" w:cstheme="minorBidi"/>
          <w:bCs w:val="0"/>
          <w:noProof/>
          <w:kern w:val="2"/>
          <w14:ligatures w14:val="standardContextual"/>
        </w:rPr>
      </w:pPr>
      <w:hyperlink w:anchor="_Toc189831243" w:history="1">
        <w:r w:rsidRPr="00EA4C87">
          <w:rPr>
            <w:rStyle w:val="Hyperlink"/>
            <w:noProof/>
          </w:rPr>
          <w:t>References</w:t>
        </w:r>
        <w:r>
          <w:rPr>
            <w:noProof/>
            <w:webHidden/>
          </w:rPr>
          <w:tab/>
        </w:r>
        <w:r>
          <w:rPr>
            <w:noProof/>
            <w:webHidden/>
          </w:rPr>
          <w:fldChar w:fldCharType="begin"/>
        </w:r>
        <w:r>
          <w:rPr>
            <w:noProof/>
            <w:webHidden/>
          </w:rPr>
          <w:instrText xml:space="preserve"> PAGEREF _Toc189831243 \h </w:instrText>
        </w:r>
        <w:r>
          <w:rPr>
            <w:noProof/>
            <w:webHidden/>
          </w:rPr>
        </w:r>
        <w:r>
          <w:rPr>
            <w:noProof/>
            <w:webHidden/>
          </w:rPr>
          <w:fldChar w:fldCharType="separate"/>
        </w:r>
        <w:r>
          <w:rPr>
            <w:noProof/>
            <w:webHidden/>
          </w:rPr>
          <w:t>18</w:t>
        </w:r>
        <w:r>
          <w:rPr>
            <w:noProof/>
            <w:webHidden/>
          </w:rPr>
          <w:fldChar w:fldCharType="end"/>
        </w:r>
      </w:hyperlink>
    </w:p>
    <w:p w14:paraId="655BEA74" w14:textId="5A239F21" w:rsidR="001F64C2" w:rsidRDefault="001F64C2">
      <w:pPr>
        <w:pStyle w:val="TOC1"/>
        <w:tabs>
          <w:tab w:val="right" w:leader="dot" w:pos="9628"/>
        </w:tabs>
        <w:rPr>
          <w:rFonts w:asciiTheme="minorHAnsi" w:hAnsiTheme="minorHAnsi" w:cstheme="minorBidi"/>
          <w:bCs w:val="0"/>
          <w:noProof/>
          <w:kern w:val="2"/>
          <w14:ligatures w14:val="standardContextual"/>
        </w:rPr>
      </w:pPr>
      <w:hyperlink w:anchor="_Toc189831244" w:history="1">
        <w:r w:rsidRPr="00EA4C87">
          <w:rPr>
            <w:rStyle w:val="Hyperlink"/>
            <w:noProof/>
          </w:rPr>
          <w:t>Other resources</w:t>
        </w:r>
        <w:r>
          <w:rPr>
            <w:noProof/>
            <w:webHidden/>
          </w:rPr>
          <w:tab/>
        </w:r>
        <w:r>
          <w:rPr>
            <w:noProof/>
            <w:webHidden/>
          </w:rPr>
          <w:fldChar w:fldCharType="begin"/>
        </w:r>
        <w:r>
          <w:rPr>
            <w:noProof/>
            <w:webHidden/>
          </w:rPr>
          <w:instrText xml:space="preserve"> PAGEREF _Toc189831244 \h </w:instrText>
        </w:r>
        <w:r>
          <w:rPr>
            <w:noProof/>
            <w:webHidden/>
          </w:rPr>
        </w:r>
        <w:r>
          <w:rPr>
            <w:noProof/>
            <w:webHidden/>
          </w:rPr>
          <w:fldChar w:fldCharType="separate"/>
        </w:r>
        <w:r>
          <w:rPr>
            <w:noProof/>
            <w:webHidden/>
          </w:rPr>
          <w:t>18</w:t>
        </w:r>
        <w:r>
          <w:rPr>
            <w:noProof/>
            <w:webHidden/>
          </w:rPr>
          <w:fldChar w:fldCharType="end"/>
        </w:r>
      </w:hyperlink>
    </w:p>
    <w:p w14:paraId="123E6372" w14:textId="790B24EF" w:rsidR="001F64C2" w:rsidRDefault="001F64C2">
      <w:pPr>
        <w:pStyle w:val="TOC1"/>
        <w:tabs>
          <w:tab w:val="right" w:leader="dot" w:pos="9628"/>
        </w:tabs>
        <w:rPr>
          <w:rFonts w:asciiTheme="minorHAnsi" w:hAnsiTheme="minorHAnsi" w:cstheme="minorBidi"/>
          <w:bCs w:val="0"/>
          <w:noProof/>
          <w:kern w:val="2"/>
          <w14:ligatures w14:val="standardContextual"/>
        </w:rPr>
      </w:pPr>
      <w:hyperlink w:anchor="_Toc189831245" w:history="1">
        <w:r w:rsidRPr="00EA4C87">
          <w:rPr>
            <w:rStyle w:val="Hyperlink"/>
            <w:noProof/>
          </w:rPr>
          <w:t>Publication information</w:t>
        </w:r>
        <w:r>
          <w:rPr>
            <w:noProof/>
            <w:webHidden/>
          </w:rPr>
          <w:tab/>
        </w:r>
        <w:r>
          <w:rPr>
            <w:noProof/>
            <w:webHidden/>
          </w:rPr>
          <w:fldChar w:fldCharType="begin"/>
        </w:r>
        <w:r>
          <w:rPr>
            <w:noProof/>
            <w:webHidden/>
          </w:rPr>
          <w:instrText xml:space="preserve"> PAGEREF _Toc189831245 \h </w:instrText>
        </w:r>
        <w:r>
          <w:rPr>
            <w:noProof/>
            <w:webHidden/>
          </w:rPr>
        </w:r>
        <w:r>
          <w:rPr>
            <w:noProof/>
            <w:webHidden/>
          </w:rPr>
          <w:fldChar w:fldCharType="separate"/>
        </w:r>
        <w:r>
          <w:rPr>
            <w:noProof/>
            <w:webHidden/>
          </w:rPr>
          <w:t>20</w:t>
        </w:r>
        <w:r>
          <w:rPr>
            <w:noProof/>
            <w:webHidden/>
          </w:rPr>
          <w:fldChar w:fldCharType="end"/>
        </w:r>
      </w:hyperlink>
    </w:p>
    <w:p w14:paraId="74E4D0F8" w14:textId="7E79D730" w:rsidR="00B165A7" w:rsidRDefault="00A471F2">
      <w:pPr>
        <w:suppressAutoHyphens w:val="0"/>
        <w:spacing w:after="160"/>
        <w:rPr>
          <w:rFonts w:asciiTheme="majorHAnsi" w:hAnsiTheme="majorHAnsi" w:cstheme="majorHAnsi"/>
          <w:szCs w:val="24"/>
        </w:rPr>
        <w:sectPr w:rsidR="00B165A7" w:rsidSect="00B314A2">
          <w:footerReference w:type="even" r:id="rId8"/>
          <w:pgSz w:w="11906" w:h="16838"/>
          <w:pgMar w:top="1134" w:right="1134" w:bottom="1134" w:left="1134" w:header="720" w:footer="720" w:gutter="0"/>
          <w:cols w:space="720"/>
          <w:noEndnote/>
          <w:docGrid w:linePitch="326"/>
        </w:sectPr>
      </w:pPr>
      <w:r>
        <w:rPr>
          <w:rFonts w:asciiTheme="majorHAnsi" w:hAnsiTheme="majorHAnsi" w:cstheme="majorHAnsi"/>
          <w:sz w:val="28"/>
          <w:szCs w:val="24"/>
        </w:rPr>
        <w:fldChar w:fldCharType="end"/>
      </w:r>
    </w:p>
    <w:p w14:paraId="0931B4AE" w14:textId="33AFF561" w:rsidR="00BE0BA2" w:rsidRDefault="002841AB" w:rsidP="002841AB">
      <w:pPr>
        <w:pStyle w:val="Heading1"/>
      </w:pPr>
      <w:bookmarkStart w:id="0" w:name="_Toc189831232"/>
      <w:r w:rsidRPr="002841AB">
        <w:lastRenderedPageBreak/>
        <w:t xml:space="preserve">The climate of </w:t>
      </w:r>
      <w:r w:rsidR="00B03EA3" w:rsidRPr="00B03EA3">
        <w:t>Mallee</w:t>
      </w:r>
      <w:r w:rsidR="00B03EA3">
        <w:t xml:space="preserve"> </w:t>
      </w:r>
      <w:r w:rsidRPr="002841AB">
        <w:t>has already changed and</w:t>
      </w:r>
      <w:r w:rsidR="004135B2">
        <w:t xml:space="preserve"> </w:t>
      </w:r>
      <w:r w:rsidRPr="002841AB">
        <w:t>will</w:t>
      </w:r>
      <w:r w:rsidR="004135B2">
        <w:t xml:space="preserve"> </w:t>
      </w:r>
      <w:r w:rsidRPr="002841AB">
        <w:t>continue to change</w:t>
      </w:r>
      <w:bookmarkEnd w:id="0"/>
    </w:p>
    <w:p w14:paraId="162D92BC" w14:textId="2A393A67" w:rsidR="007C40EE" w:rsidRPr="007C40EE" w:rsidRDefault="00B03EA3" w:rsidP="007C40EE">
      <w:pPr>
        <w:pStyle w:val="BodyText"/>
      </w:pPr>
      <w:r>
        <w:rPr>
          <w:noProof/>
        </w:rPr>
        <w:drawing>
          <wp:inline distT="0" distB="0" distL="0" distR="0" wp14:anchorId="70823FD5" wp14:editId="2F077ABC">
            <wp:extent cx="4686300" cy="3340100"/>
            <wp:effectExtent l="0" t="0" r="0" b="0"/>
            <wp:docPr id="1194796630" name="Picture 1" descr="A map of Victoria outlining nine regional partnership areas plus Greater Melbourne as tenth. The Mallee region is highlighted in darker gree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796630" name="Picture 1" descr="A map of Victoria outlining nine regional partnership areas plus Greater Melbourne as tenth. The Mallee region is highlighted in darker green colour."/>
                    <pic:cNvPicPr/>
                  </pic:nvPicPr>
                  <pic:blipFill>
                    <a:blip r:embed="rId9"/>
                    <a:stretch>
                      <a:fillRect/>
                    </a:stretch>
                  </pic:blipFill>
                  <pic:spPr>
                    <a:xfrm>
                      <a:off x="0" y="0"/>
                      <a:ext cx="4686300" cy="3340100"/>
                    </a:xfrm>
                    <a:prstGeom prst="rect">
                      <a:avLst/>
                    </a:prstGeom>
                  </pic:spPr>
                </pic:pic>
              </a:graphicData>
            </a:graphic>
          </wp:inline>
        </w:drawing>
      </w:r>
    </w:p>
    <w:p w14:paraId="60B3C975" w14:textId="77777777" w:rsidR="002841AB" w:rsidRDefault="002841AB" w:rsidP="002841AB">
      <w:pPr>
        <w:pStyle w:val="BodyText"/>
      </w:pPr>
      <w:r w:rsidRPr="002841AB">
        <w:rPr>
          <w:b/>
          <w:bCs/>
        </w:rPr>
        <w:t>Minimum and maximum daily temperatures</w:t>
      </w:r>
      <w:r w:rsidRPr="002841AB">
        <w:t xml:space="preserve"> will continue to increase until at least 2050. Warming is projected to continue in the second half of the century if significant cuts in global greenhouse emissions are not made immediately (</w:t>
      </w:r>
      <w:r w:rsidRPr="002841AB">
        <w:rPr>
          <w:i/>
          <w:iCs/>
        </w:rPr>
        <w:t>very high confidence)</w:t>
      </w:r>
      <w:r w:rsidRPr="002841AB">
        <w:t>.</w:t>
      </w:r>
    </w:p>
    <w:p w14:paraId="427DDA2F" w14:textId="4B4775C0" w:rsidR="002841AB" w:rsidRPr="002841AB" w:rsidRDefault="002841AB" w:rsidP="002841AB">
      <w:pPr>
        <w:pStyle w:val="BodyText"/>
      </w:pPr>
      <w:r w:rsidRPr="002841AB">
        <w:t>Compared to 1986–2005 baseline the projections indicate the following increase</w:t>
      </w:r>
      <w:r w:rsidR="004135B2">
        <w:t xml:space="preserve"> </w:t>
      </w:r>
      <w:r w:rsidRPr="002841AB">
        <w:t xml:space="preserve">in </w:t>
      </w:r>
      <w:r w:rsidRPr="002841AB">
        <w:rPr>
          <w:b/>
          <w:bCs/>
        </w:rPr>
        <w:t>average annual temperature</w:t>
      </w:r>
      <w:r w:rsidRPr="002841AB">
        <w:t xml:space="preserve"> (°C change):</w:t>
      </w:r>
    </w:p>
    <w:p w14:paraId="71280F45" w14:textId="77777777" w:rsidR="002841AB" w:rsidRPr="002841AB" w:rsidRDefault="002841AB" w:rsidP="002841AB">
      <w:pPr>
        <w:pStyle w:val="Normalbeforebullets"/>
      </w:pPr>
      <w:r w:rsidRPr="002841AB">
        <w:t>Low emissions scenario:</w:t>
      </w:r>
    </w:p>
    <w:p w14:paraId="35C3DEA7" w14:textId="77777777" w:rsidR="00A75733" w:rsidRDefault="008825F5" w:rsidP="008825F5">
      <w:pPr>
        <w:pStyle w:val="ListBullet"/>
      </w:pPr>
      <w:r w:rsidRPr="008825F5">
        <w:t>1.0 (0.5–1.4) by 2050</w:t>
      </w:r>
    </w:p>
    <w:p w14:paraId="094C7C77" w14:textId="77777777" w:rsidR="00A75733" w:rsidRDefault="008825F5" w:rsidP="008825F5">
      <w:pPr>
        <w:pStyle w:val="LastBulletinList"/>
      </w:pPr>
      <w:r w:rsidRPr="008825F5">
        <w:t>1.1 (0.6–1.5) by 2090</w:t>
      </w:r>
    </w:p>
    <w:p w14:paraId="6852897C" w14:textId="36417C5B" w:rsidR="002841AB" w:rsidRPr="002841AB" w:rsidRDefault="002841AB" w:rsidP="008825F5">
      <w:pPr>
        <w:pStyle w:val="Normalbeforebullets"/>
      </w:pPr>
      <w:r w:rsidRPr="002841AB">
        <w:t>High emissions scenario:</w:t>
      </w:r>
    </w:p>
    <w:p w14:paraId="6A4965F5" w14:textId="75B5BE74" w:rsidR="00BA078F" w:rsidRDefault="008825F5" w:rsidP="00BA078F">
      <w:pPr>
        <w:pStyle w:val="ListBullet"/>
      </w:pPr>
      <w:r w:rsidRPr="008825F5">
        <w:t>1</w:t>
      </w:r>
      <w:r w:rsidR="004F0F9D">
        <w:t>.5</w:t>
      </w:r>
      <w:r w:rsidR="00BA078F" w:rsidRPr="008825F5">
        <w:t xml:space="preserve"> (</w:t>
      </w:r>
      <w:r w:rsidR="004F0F9D">
        <w:t>0.9</w:t>
      </w:r>
      <w:r w:rsidR="00BA078F" w:rsidRPr="008825F5">
        <w:t>–2.</w:t>
      </w:r>
      <w:r w:rsidR="004F0F9D">
        <w:t>0</w:t>
      </w:r>
      <w:r w:rsidR="00BA078F" w:rsidRPr="008825F5">
        <w:t>) by 2050</w:t>
      </w:r>
    </w:p>
    <w:p w14:paraId="5658F538" w14:textId="788E48BC" w:rsidR="00A75733" w:rsidRDefault="002D2C51" w:rsidP="008825F5">
      <w:pPr>
        <w:pStyle w:val="LastBulletinList"/>
      </w:pPr>
      <w:r w:rsidRPr="00013B52">
        <w:t>3.3 (2.2 to 3.8)</w:t>
      </w:r>
      <w:r>
        <w:rPr>
          <w:rFonts w:ascii="AdobeClean-Regular" w:hAnsi="AdobeClean-Regular" w:cs="AdobeClean-Regular"/>
          <w:color w:val="000000"/>
          <w:szCs w:val="24"/>
        </w:rPr>
        <w:t xml:space="preserve"> </w:t>
      </w:r>
      <w:r w:rsidR="008825F5" w:rsidRPr="008825F5">
        <w:t>by 2090</w:t>
      </w:r>
    </w:p>
    <w:p w14:paraId="4837A81B" w14:textId="4E132404" w:rsidR="002841AB" w:rsidRPr="002841AB" w:rsidRDefault="002841AB" w:rsidP="008825F5">
      <w:pPr>
        <w:pStyle w:val="BodyText"/>
      </w:pPr>
      <w:r w:rsidRPr="002841AB">
        <w:rPr>
          <w:b/>
          <w:bCs/>
        </w:rPr>
        <w:lastRenderedPageBreak/>
        <w:t>Hot days and nights</w:t>
      </w:r>
      <w:r w:rsidRPr="002841AB">
        <w:t xml:space="preserve"> will become hotter</w:t>
      </w:r>
      <w:r w:rsidR="004135B2">
        <w:t xml:space="preserve"> </w:t>
      </w:r>
      <w:r w:rsidRPr="002841AB">
        <w:t>and more frequent, with longer, more intense heatwaves (</w:t>
      </w:r>
      <w:r w:rsidRPr="002841AB">
        <w:rPr>
          <w:i/>
          <w:iCs/>
        </w:rPr>
        <w:t>very high confidence</w:t>
      </w:r>
      <w:r w:rsidRPr="002841AB">
        <w:t>).</w:t>
      </w:r>
    </w:p>
    <w:p w14:paraId="5FF8D543" w14:textId="7CDA5A4A" w:rsidR="002841AB" w:rsidRDefault="002841AB" w:rsidP="002841AB">
      <w:pPr>
        <w:pStyle w:val="BodyText"/>
      </w:pPr>
      <w:r w:rsidRPr="002841AB">
        <w:rPr>
          <w:b/>
          <w:bCs/>
        </w:rPr>
        <w:t>Rainfall</w:t>
      </w:r>
      <w:r w:rsidRPr="002841AB">
        <w:t xml:space="preserve"> will continue to be variable over</w:t>
      </w:r>
      <w:r w:rsidR="004135B2">
        <w:t xml:space="preserve"> </w:t>
      </w:r>
      <w:r w:rsidRPr="002841AB">
        <w:t>time, but over the long term is</w:t>
      </w:r>
      <w:r w:rsidR="004135B2">
        <w:t xml:space="preserve"> </w:t>
      </w:r>
      <w:r w:rsidRPr="002841AB">
        <w:t>expected to continue declining in the</w:t>
      </w:r>
      <w:r w:rsidR="004135B2">
        <w:t xml:space="preserve"> </w:t>
      </w:r>
      <w:r w:rsidRPr="002841AB">
        <w:t>cool season (</w:t>
      </w:r>
      <w:r w:rsidRPr="002841AB">
        <w:rPr>
          <w:i/>
          <w:iCs/>
        </w:rPr>
        <w:t>medium to high confidence</w:t>
      </w:r>
      <w:r w:rsidRPr="002841AB">
        <w:t>). Long-term changes to summer rainfall are uncertain.</w:t>
      </w:r>
    </w:p>
    <w:p w14:paraId="183BB104" w14:textId="26F3D9A2" w:rsidR="002841AB" w:rsidRPr="002841AB" w:rsidRDefault="002841AB" w:rsidP="002841AB">
      <w:pPr>
        <w:pStyle w:val="BodyText"/>
      </w:pPr>
      <w:r w:rsidRPr="002841AB">
        <w:rPr>
          <w:b/>
          <w:bCs/>
        </w:rPr>
        <w:t>Extreme rainfall</w:t>
      </w:r>
      <w:r w:rsidRPr="002841AB">
        <w:t xml:space="preserve"> events are expected to</w:t>
      </w:r>
      <w:r w:rsidR="004135B2">
        <w:t xml:space="preserve"> </w:t>
      </w:r>
      <w:r w:rsidRPr="002841AB">
        <w:t>become more intense on average through the century (</w:t>
      </w:r>
      <w:r w:rsidRPr="002841AB">
        <w:rPr>
          <w:i/>
          <w:iCs/>
        </w:rPr>
        <w:t>high confidence</w:t>
      </w:r>
      <w:r w:rsidRPr="002841AB">
        <w:t>) but remain very variable in space and</w:t>
      </w:r>
      <w:r w:rsidR="004135B2">
        <w:t xml:space="preserve"> </w:t>
      </w:r>
      <w:r w:rsidRPr="002841AB">
        <w:t>time.</w:t>
      </w:r>
    </w:p>
    <w:p w14:paraId="505EBA31" w14:textId="77777777" w:rsidR="002841AB" w:rsidRPr="002841AB" w:rsidRDefault="002841AB" w:rsidP="002841AB">
      <w:pPr>
        <w:pStyle w:val="BodyText"/>
      </w:pPr>
      <w:r w:rsidRPr="002841AB">
        <w:t xml:space="preserve">High-impact </w:t>
      </w:r>
      <w:r w:rsidRPr="002841AB">
        <w:rPr>
          <w:b/>
          <w:bCs/>
        </w:rPr>
        <w:t>climate hazards</w:t>
      </w:r>
      <w:r w:rsidRPr="002841AB">
        <w:t xml:space="preserve"> that affect Victoria including floods, heatwaves, drought and bushfires are also changing.</w:t>
      </w:r>
    </w:p>
    <w:p w14:paraId="5B90AD11" w14:textId="77777777" w:rsidR="00A75733" w:rsidRDefault="002C3E4C" w:rsidP="002C3E4C">
      <w:pPr>
        <w:pStyle w:val="Heading1"/>
      </w:pPr>
      <w:bookmarkStart w:id="1" w:name="_Toc189831233"/>
      <w:r w:rsidRPr="002C3E4C">
        <w:t>About these projections</w:t>
      </w:r>
      <w:bookmarkEnd w:id="1"/>
    </w:p>
    <w:p w14:paraId="0067EAA3" w14:textId="7A654321" w:rsidR="00A75733" w:rsidRDefault="008825F5" w:rsidP="008825F5">
      <w:pPr>
        <w:pStyle w:val="BodyText"/>
      </w:pPr>
      <w:r w:rsidRPr="008825F5">
        <w:t>The climate is changing globally and in Victoria. Further changes in climate are expected in the future,</w:t>
      </w:r>
      <w:r w:rsidR="004135B2">
        <w:t xml:space="preserve"> </w:t>
      </w:r>
      <w:r w:rsidRPr="008825F5">
        <w:t>driven by ongoing emissions of greenhouse gasses globally.</w:t>
      </w:r>
    </w:p>
    <w:p w14:paraId="1A3E0C28" w14:textId="636CEEB9" w:rsidR="00A75733" w:rsidRDefault="008825F5" w:rsidP="008825F5">
      <w:pPr>
        <w:pStyle w:val="BodyText"/>
      </w:pPr>
      <w:r w:rsidRPr="008825F5">
        <w:rPr>
          <w:lang w:val="en-AU"/>
        </w:rPr>
        <w:t>This report presents projections of future changes to</w:t>
      </w:r>
      <w:r w:rsidR="004135B2">
        <w:rPr>
          <w:lang w:val="en-AU"/>
        </w:rPr>
        <w:t xml:space="preserve"> </w:t>
      </w:r>
      <w:r w:rsidRPr="008825F5">
        <w:rPr>
          <w:lang w:val="en-AU"/>
        </w:rPr>
        <w:t>the climate of Mallee, providing a regional snapshot of the Victorian Climate Projections 2024 (VCP24). It</w:t>
      </w:r>
      <w:r w:rsidR="004135B2">
        <w:rPr>
          <w:lang w:val="en-AU"/>
        </w:rPr>
        <w:t xml:space="preserve"> </w:t>
      </w:r>
      <w:r w:rsidRPr="008825F5">
        <w:rPr>
          <w:lang w:val="en-AU"/>
        </w:rPr>
        <w:t>complements previous projections, such as the Victorian Climate Projections 2019 (VCP19) and projections data available through</w:t>
      </w:r>
      <w:r w:rsidR="002C3E4C" w:rsidRPr="002C3E4C">
        <w:t xml:space="preserve"> </w:t>
      </w:r>
      <w:hyperlink r:id="rId10" w:tooltip="Hyperlink to Victoria’s Future Climate Tool website" w:history="1">
        <w:r w:rsidR="002C3E4C" w:rsidRPr="002C3E4C">
          <w:rPr>
            <w:rStyle w:val="Hyperlink"/>
          </w:rPr>
          <w:t>Victoria’s Future Climate Tool</w:t>
        </w:r>
      </w:hyperlink>
      <w:r w:rsidR="00B94E50">
        <w:t>.</w:t>
      </w:r>
    </w:p>
    <w:p w14:paraId="395D7F96" w14:textId="2DA12610" w:rsidR="002C3E4C" w:rsidRPr="002C3E4C" w:rsidRDefault="002C3E4C" w:rsidP="002C3E4C">
      <w:pPr>
        <w:pStyle w:val="Normalbeforebullets"/>
      </w:pPr>
      <w:r w:rsidRPr="002C3E4C">
        <w:t>The focus of this regional summary is on results from new regional climate model simulations:</w:t>
      </w:r>
    </w:p>
    <w:p w14:paraId="52F480D9" w14:textId="77777777" w:rsidR="002C3E4C" w:rsidRPr="002C3E4C" w:rsidRDefault="002C3E4C" w:rsidP="002C3E4C">
      <w:pPr>
        <w:pStyle w:val="ListBullet"/>
      </w:pPr>
      <w:r w:rsidRPr="002C3E4C">
        <w:t>Australia-wide climate modelling prepared as part of the Australian Climate Service and the Coordinated Regional Climate Downscaling Experiment (CORDEX) (~10–17 km resolution)</w:t>
      </w:r>
    </w:p>
    <w:p w14:paraId="08FFD921" w14:textId="77777777" w:rsidR="002C3E4C" w:rsidRPr="002C3E4C" w:rsidRDefault="002C3E4C" w:rsidP="002C3E4C">
      <w:pPr>
        <w:pStyle w:val="LastBulletinList"/>
      </w:pPr>
      <w:r w:rsidRPr="002C3E4C">
        <w:t>Higher (~4 km) resolution modelling covering southeast Australia from the New South Wales and Australian Regional Climate Modelling Project phase 2.0 (NARCliM2.0).</w:t>
      </w:r>
    </w:p>
    <w:p w14:paraId="17E2315B" w14:textId="6D7D1179" w:rsidR="00A75733" w:rsidRDefault="002C3E4C" w:rsidP="002C3E4C">
      <w:pPr>
        <w:pStyle w:val="BodyText"/>
      </w:pPr>
      <w:r w:rsidRPr="002C3E4C">
        <w:lastRenderedPageBreak/>
        <w:t>These regional ‘downscaling’ simulations add detail to</w:t>
      </w:r>
      <w:r w:rsidR="004135B2">
        <w:t xml:space="preserve"> </w:t>
      </w:r>
      <w:r w:rsidRPr="002C3E4C">
        <w:t>the latest generation of global climate modelling, used in the IPCC’s Sixth Assessment Report (AR6) – the</w:t>
      </w:r>
      <w:r w:rsidR="004135B2">
        <w:t xml:space="preserve"> </w:t>
      </w:r>
      <w:r w:rsidRPr="002C3E4C">
        <w:t>Coupled Model Intercomparison Project Phase 6 (CMIP6).</w:t>
      </w:r>
    </w:p>
    <w:p w14:paraId="0CD7C5F5" w14:textId="59652250" w:rsidR="002C3E4C" w:rsidRPr="002C3E4C" w:rsidRDefault="002C3E4C" w:rsidP="002C3E4C">
      <w:pPr>
        <w:pStyle w:val="Normalbeforebullets"/>
      </w:pPr>
      <w:r w:rsidRPr="002C3E4C">
        <w:t>Since the future global greenhouse gas emissions are unknowable, results are shown for two plausible but very different scenarios of future global emissions:</w:t>
      </w:r>
    </w:p>
    <w:p w14:paraId="4CD20BD0" w14:textId="77777777" w:rsidR="002C3E4C" w:rsidRPr="002C3E4C" w:rsidRDefault="002C3E4C" w:rsidP="002C3E4C">
      <w:pPr>
        <w:pStyle w:val="ListBullet"/>
      </w:pPr>
      <w:r w:rsidRPr="002C3E4C">
        <w:t xml:space="preserve">a </w:t>
      </w:r>
      <w:r w:rsidRPr="002C3E4C">
        <w:rPr>
          <w:b/>
          <w:bCs/>
        </w:rPr>
        <w:t>low emissions scenario</w:t>
      </w:r>
      <w:r w:rsidRPr="002C3E4C">
        <w:t xml:space="preserve"> (‘SSP1–2.6’) with immediate significant cuts in emissions to reach net zero around 2075, roughly compliant with the Paris Agreement</w:t>
      </w:r>
    </w:p>
    <w:p w14:paraId="2986F897" w14:textId="77777777" w:rsidR="00A75733" w:rsidRDefault="002C3E4C" w:rsidP="002C3E4C">
      <w:pPr>
        <w:pStyle w:val="LastBulletinList"/>
      </w:pPr>
      <w:r w:rsidRPr="002C3E4C">
        <w:t xml:space="preserve">a </w:t>
      </w:r>
      <w:r w:rsidRPr="002C3E4C">
        <w:rPr>
          <w:b/>
          <w:bCs/>
        </w:rPr>
        <w:t>high emissions scenario</w:t>
      </w:r>
      <w:r w:rsidRPr="002C3E4C">
        <w:t xml:space="preserve"> (‘SSP3–7.0’) under which emissions continue to increase and reach roughly double present levels by 2100.</w:t>
      </w:r>
    </w:p>
    <w:p w14:paraId="1D17FB9D" w14:textId="6CA4C2F5" w:rsidR="002C3E4C" w:rsidRPr="002C3E4C" w:rsidRDefault="002C3E4C" w:rsidP="002C3E4C">
      <w:pPr>
        <w:pStyle w:val="BodyText"/>
      </w:pPr>
      <w:r w:rsidRPr="002C3E4C">
        <w:t>These scenarios span a plausible range of change, but</w:t>
      </w:r>
      <w:r w:rsidR="004135B2">
        <w:t xml:space="preserve"> </w:t>
      </w:r>
      <w:r w:rsidRPr="002C3E4C">
        <w:t>do not include the medium (‘RCP4.5’) and very high</w:t>
      </w:r>
      <w:r w:rsidR="004135B2">
        <w:t xml:space="preserve"> </w:t>
      </w:r>
      <w:r w:rsidRPr="002C3E4C">
        <w:t>(‘RCP8.5’) emissions scenario used in VCP19 and</w:t>
      </w:r>
      <w:r w:rsidR="004135B2">
        <w:t xml:space="preserve"> </w:t>
      </w:r>
      <w:r w:rsidRPr="002C3E4C">
        <w:t xml:space="preserve">available in the </w:t>
      </w:r>
      <w:hyperlink r:id="rId11" w:tooltip="Hyperlink to the PDF document Mallee Climate Projections 2019" w:history="1">
        <w:r w:rsidR="008825F5" w:rsidRPr="008825F5">
          <w:rPr>
            <w:rStyle w:val="Hyperlink"/>
          </w:rPr>
          <w:t>Mallee Climate Projections 2019</w:t>
        </w:r>
      </w:hyperlink>
      <w:r w:rsidR="008825F5" w:rsidRPr="008825F5">
        <w:t xml:space="preserve"> (Clarke et al, 2019)</w:t>
      </w:r>
      <w:r w:rsidR="004623DA" w:rsidRPr="004623DA">
        <w:t>.</w:t>
      </w:r>
    </w:p>
    <w:p w14:paraId="3C4715E2" w14:textId="47C08317" w:rsidR="008D2FCF" w:rsidRPr="008D2FCF" w:rsidRDefault="008D2FCF" w:rsidP="008D2FCF">
      <w:pPr>
        <w:pStyle w:val="BodyText"/>
      </w:pPr>
      <w:r w:rsidRPr="008D2FCF">
        <w:t xml:space="preserve">Additional relevant studies are explored where they have been produced. For more information on the climate modelling and emissions scenarios, refer to </w:t>
      </w:r>
      <w:hyperlink r:id="rId12" w:tooltip="Hyperlink to Victoria's changing climate website" w:history="1">
        <w:r w:rsidRPr="008D2FCF">
          <w:rPr>
            <w:rStyle w:val="Hyperlink"/>
          </w:rPr>
          <w:t>Victoria’s Climate Science Report 2024</w:t>
        </w:r>
      </w:hyperlink>
      <w:r w:rsidRPr="008D2FCF">
        <w:t xml:space="preserve"> (VCSR24)(DEECA, 2024) and the </w:t>
      </w:r>
      <w:hyperlink r:id="rId13" w:tooltip="Hyperlink to Victoria's changing climate website" w:history="1">
        <w:r w:rsidRPr="008D2FCF">
          <w:rPr>
            <w:rStyle w:val="Hyperlink"/>
          </w:rPr>
          <w:t>Victorian Climate Projections 2024 Technical Report</w:t>
        </w:r>
      </w:hyperlink>
      <w:r w:rsidRPr="008D2FCF">
        <w:t xml:space="preserve"> (VCP24 TR) (CSIRO, 2024).</w:t>
      </w:r>
    </w:p>
    <w:p w14:paraId="38DEE38C" w14:textId="592C423E" w:rsidR="00852C3A" w:rsidRPr="004135B2" w:rsidRDefault="008D2FCF" w:rsidP="004135B2">
      <w:pPr>
        <w:pStyle w:val="BodyText"/>
        <w:rPr>
          <w:lang w:val="en-AU"/>
        </w:rPr>
      </w:pPr>
      <w:r w:rsidRPr="008D2FCF">
        <w:rPr>
          <w:lang w:val="en-AU"/>
        </w:rPr>
        <w:t>For more information on sea-level rise (SLR) see the</w:t>
      </w:r>
      <w:r w:rsidR="004135B2">
        <w:rPr>
          <w:lang w:val="en-AU"/>
        </w:rPr>
        <w:t xml:space="preserve"> </w:t>
      </w:r>
      <w:hyperlink r:id="rId14" w:tooltip="Hyperlink to Victoria's changing climate website" w:history="1">
        <w:r w:rsidRPr="008D2FCF">
          <w:rPr>
            <w:rStyle w:val="Hyperlink"/>
            <w:lang w:val="en-AU"/>
          </w:rPr>
          <w:t>Updated Sea-level Projections for Victoria</w:t>
        </w:r>
      </w:hyperlink>
      <w:r w:rsidRPr="008D2FCF">
        <w:rPr>
          <w:lang w:val="en-AU"/>
        </w:rPr>
        <w:t xml:space="preserve"> (McInnes &amp; Zhang, 2024). The SLR projections go to</w:t>
      </w:r>
      <w:r w:rsidR="004135B2">
        <w:rPr>
          <w:lang w:val="en-AU"/>
        </w:rPr>
        <w:t xml:space="preserve"> </w:t>
      </w:r>
      <w:r w:rsidRPr="008D2FCF">
        <w:rPr>
          <w:lang w:val="en-AU"/>
        </w:rPr>
        <w:t>2120 and</w:t>
      </w:r>
      <w:r w:rsidR="004135B2">
        <w:rPr>
          <w:lang w:val="en-AU"/>
        </w:rPr>
        <w:t xml:space="preserve"> </w:t>
      </w:r>
      <w:r w:rsidRPr="008D2FCF">
        <w:rPr>
          <w:lang w:val="en-AU"/>
        </w:rPr>
        <w:t>include additional emissions scenarios as</w:t>
      </w:r>
      <w:r w:rsidR="004135B2">
        <w:rPr>
          <w:lang w:val="en-AU"/>
        </w:rPr>
        <w:t xml:space="preserve"> </w:t>
      </w:r>
      <w:r w:rsidRPr="008D2FCF">
        <w:rPr>
          <w:lang w:val="en-AU"/>
        </w:rPr>
        <w:t>outlined</w:t>
      </w:r>
      <w:r w:rsidR="004135B2">
        <w:rPr>
          <w:lang w:val="en-AU"/>
        </w:rPr>
        <w:t xml:space="preserve"> </w:t>
      </w:r>
      <w:r w:rsidRPr="008D2FCF">
        <w:rPr>
          <w:lang w:val="en-AU"/>
        </w:rPr>
        <w:t>below</w:t>
      </w:r>
      <w:r w:rsidR="002C3E4C" w:rsidRPr="002C3E4C">
        <w:rPr>
          <w:lang w:val="en-AU"/>
        </w:rPr>
        <w:t>.</w:t>
      </w:r>
      <w:r w:rsidR="00852C3A">
        <w:br w:type="page"/>
      </w:r>
    </w:p>
    <w:p w14:paraId="31E70010" w14:textId="23C94C19" w:rsidR="000A0889" w:rsidRPr="000A0889" w:rsidRDefault="008825F5" w:rsidP="008825F5">
      <w:pPr>
        <w:pStyle w:val="Heading1"/>
      </w:pPr>
      <w:bookmarkStart w:id="2" w:name="_Toc189831234"/>
      <w:r w:rsidRPr="008825F5">
        <w:lastRenderedPageBreak/>
        <w:t>Mallee’s climate will continue to get warmer</w:t>
      </w:r>
      <w:bookmarkEnd w:id="2"/>
    </w:p>
    <w:p w14:paraId="37ABF179" w14:textId="77777777" w:rsidR="008825F5" w:rsidRPr="008825F5" w:rsidRDefault="008825F5" w:rsidP="008825F5">
      <w:pPr>
        <w:pStyle w:val="BodyText"/>
        <w:ind w:right="-143"/>
        <w:rPr>
          <w:b/>
          <w:bCs/>
        </w:rPr>
      </w:pPr>
      <w:r w:rsidRPr="008825F5">
        <w:rPr>
          <w:b/>
          <w:bCs/>
        </w:rPr>
        <w:t>The Mallee region has warmed since the 19th century and is projected to get warmer under all emissions scenarios, but much warmer under the high emissions scenario.</w:t>
      </w:r>
    </w:p>
    <w:p w14:paraId="01D03881" w14:textId="77777777" w:rsidR="00A75733" w:rsidRDefault="008825F5" w:rsidP="008825F5">
      <w:pPr>
        <w:pStyle w:val="BodyText"/>
      </w:pPr>
      <w:r w:rsidRPr="008825F5">
        <w:t>Victoria’s temperature has increased by approximately 1.2 °C since standardised observational temperature records began in 1910 (Figure 1), with more than half of this warming occurring in the past 3 decades. The Mildura long-term temperature monitoring station recorded 0.9 °C of warming between the start of records and 2011–2020. The last three years (2021–2023) have been cooler relative to the preceding decade but were still well above the long-term average</w:t>
      </w:r>
      <w:r w:rsidR="000A0889" w:rsidRPr="000A0889">
        <w:t>.</w:t>
      </w:r>
    </w:p>
    <w:p w14:paraId="43F103D9" w14:textId="39FB8954" w:rsidR="00A91BA4" w:rsidRPr="00A91BA4" w:rsidRDefault="00A91BA4" w:rsidP="00A91BA4">
      <w:pPr>
        <w:pStyle w:val="Caption"/>
        <w:keepNext/>
        <w:rPr>
          <w:sz w:val="22"/>
          <w:lang w:val="en-GB"/>
        </w:rPr>
      </w:pPr>
      <w:r>
        <w:t xml:space="preserve">Figure </w:t>
      </w:r>
      <w:r w:rsidR="00755984">
        <w:fldChar w:fldCharType="begin"/>
      </w:r>
      <w:r w:rsidR="00755984">
        <w:instrText xml:space="preserve"> SEQ Figure \* ARABIC </w:instrText>
      </w:r>
      <w:r w:rsidR="00755984">
        <w:fldChar w:fldCharType="separate"/>
      </w:r>
      <w:r w:rsidR="00755984">
        <w:rPr>
          <w:noProof/>
        </w:rPr>
        <w:t>1</w:t>
      </w:r>
      <w:r w:rsidR="00755984">
        <w:rPr>
          <w:noProof/>
        </w:rPr>
        <w:fldChar w:fldCharType="end"/>
      </w:r>
      <w:r>
        <w:t xml:space="preserve">: </w:t>
      </w:r>
      <w:r w:rsidRPr="00A91BA4">
        <w:rPr>
          <w:sz w:val="22"/>
          <w:lang w:val="en-GB"/>
        </w:rPr>
        <w:t>Annual average temperature anomalies across Victoria 1910–2023</w:t>
      </w:r>
    </w:p>
    <w:p w14:paraId="44F2A24C" w14:textId="375E4EB2" w:rsidR="00A91BA4" w:rsidRDefault="005F362A" w:rsidP="00A91BA4">
      <w:pPr>
        <w:pStyle w:val="Caption"/>
        <w:keepNext/>
        <w:rPr>
          <w:rFonts w:cs="Times New Roman (Body CS)"/>
          <w:kern w:val="24"/>
          <w:lang w:val="en-GB"/>
        </w:rPr>
      </w:pPr>
      <w:r>
        <w:rPr>
          <w:noProof/>
        </w:rPr>
        <w:drawing>
          <wp:inline distT="0" distB="0" distL="0" distR="0" wp14:anchorId="37FDC25B" wp14:editId="78770395">
            <wp:extent cx="6120130" cy="3652520"/>
            <wp:effectExtent l="0" t="0" r="1270" b="5080"/>
            <wp:doc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pic:cNvPicPr/>
                  </pic:nvPicPr>
                  <pic:blipFill>
                    <a:blip r:embed="rId15"/>
                    <a:stretch>
                      <a:fillRect/>
                    </a:stretch>
                  </pic:blipFill>
                  <pic:spPr>
                    <a:xfrm>
                      <a:off x="0" y="0"/>
                      <a:ext cx="6120130" cy="3652520"/>
                    </a:xfrm>
                    <a:prstGeom prst="rect">
                      <a:avLst/>
                    </a:prstGeom>
                  </pic:spPr>
                </pic:pic>
              </a:graphicData>
            </a:graphic>
          </wp:inline>
        </w:drawing>
      </w:r>
    </w:p>
    <w:p w14:paraId="2724FFBC" w14:textId="016E56BE" w:rsidR="00A75733" w:rsidRDefault="00232121" w:rsidP="00232121">
      <w:pPr>
        <w:pStyle w:val="BodyText"/>
      </w:pPr>
      <w:r w:rsidRPr="00232121">
        <w:rPr>
          <w:b/>
          <w:bCs/>
        </w:rPr>
        <w:t>Figure 1. Observed average annual temperature over Victoria, relative to the first 20 years of observations (1910–1930).</w:t>
      </w:r>
      <w:r w:rsidRPr="00232121">
        <w:t xml:space="preserve"> Data</w:t>
      </w:r>
      <w:r w:rsidR="004135B2">
        <w:t xml:space="preserve"> </w:t>
      </w:r>
      <w:r w:rsidRPr="00232121">
        <w:t>from ACORN-SAT.</w:t>
      </w:r>
    </w:p>
    <w:p w14:paraId="5B7D48C9" w14:textId="77777777" w:rsidR="00A75733" w:rsidRDefault="008825F5" w:rsidP="008825F5">
      <w:pPr>
        <w:pStyle w:val="BodyText"/>
      </w:pPr>
      <w:r w:rsidRPr="008825F5">
        <w:lastRenderedPageBreak/>
        <w:t>As long as the concentration of greenhouse gases in the atmosphere continues to increase, this warming is expected to continue (</w:t>
      </w:r>
      <w:r w:rsidRPr="008825F5">
        <w:rPr>
          <w:i/>
          <w:iCs/>
        </w:rPr>
        <w:t>very high confidence</w:t>
      </w:r>
      <w:r w:rsidRPr="008825F5">
        <w:t>). However, as Figure 2 shows, the amount of warming in the second half of the century depends on the world’s greenhouse gas emissions over the coming decades.</w:t>
      </w:r>
    </w:p>
    <w:p w14:paraId="5C6C13C9" w14:textId="43EB26C7" w:rsidR="008825F5" w:rsidRPr="008825F5" w:rsidRDefault="008825F5" w:rsidP="008825F5">
      <w:pPr>
        <w:pStyle w:val="BodyText"/>
      </w:pPr>
      <w:r w:rsidRPr="008825F5">
        <w:t>Under the low emissions scenario, the average temperature will likely continue to rise until around 2050 before stabilising. The new regional climate model simulations project that the Mallee region will likely be 1.0 °C (0.5–1.4 °C</w:t>
      </w:r>
      <w:r w:rsidR="00FA6388">
        <w:t xml:space="preserve"> [</w:t>
      </w:r>
      <w:r w:rsidR="00FA6388" w:rsidRPr="008825F5">
        <w:rPr>
          <w:lang w:val="en-AU"/>
        </w:rPr>
        <w:t>The presented likely range of change represents 80% of the models, that is excluding the highest and lowest 10% of</w:t>
      </w:r>
      <w:r w:rsidR="00FA6388">
        <w:rPr>
          <w:lang w:val="en-AU"/>
        </w:rPr>
        <w:t xml:space="preserve"> </w:t>
      </w:r>
      <w:r w:rsidR="00FA6388" w:rsidRPr="008825F5">
        <w:rPr>
          <w:lang w:val="en-AU"/>
        </w:rPr>
        <w:t>simulations.</w:t>
      </w:r>
      <w:r w:rsidR="00FA6388">
        <w:t>]</w:t>
      </w:r>
      <w:r w:rsidRPr="008825F5">
        <w:t>) warmer by 2050 and 1.1 °C (0.6–1.5 °C) warmer by 2090 under the low emissions scenario, compared to a 1986–2005 baseline.</w:t>
      </w:r>
      <w:r>
        <w:t xml:space="preserve"> </w:t>
      </w:r>
    </w:p>
    <w:p w14:paraId="393FDC90" w14:textId="77777777" w:rsidR="008825F5" w:rsidRPr="008825F5" w:rsidRDefault="008825F5" w:rsidP="008825F5">
      <w:pPr>
        <w:pStyle w:val="BodyText"/>
      </w:pPr>
      <w:r w:rsidRPr="008825F5">
        <w:t>Under the high emissions scenario, warming will continue throughout the 21st century, with average temperatures likely to be 1.5 °C (0.9–2.0 °C) warmer by 2050 and 3.3 °C (2.2–3.8 °C) warmer by 2090, compared to a 1986–2005 baseline.</w:t>
      </w:r>
    </w:p>
    <w:p w14:paraId="1E57C586" w14:textId="4D4CC24F" w:rsidR="00232121" w:rsidRPr="008825F5" w:rsidRDefault="008825F5" w:rsidP="00E86ADB">
      <w:pPr>
        <w:pStyle w:val="BodyText"/>
        <w:ind w:right="-285"/>
      </w:pPr>
      <w:r w:rsidRPr="008825F5">
        <w:t>Some of the climate model simulations project especially rapid warming in response to future greenhouse gas increases. The hottest of these ‘low-likelihood, high-warming’ simulations projects that average temperatures in the Mallee could be 4.9 °C hotter by 2090, compared to a 1986–2005 baseline. This level of warming is not considered to be likely, but it cannot be ruled out.</w:t>
      </w:r>
    </w:p>
    <w:p w14:paraId="2C9D3DA8" w14:textId="4DCCB89A" w:rsidR="005C4A8E" w:rsidRPr="00852C3A" w:rsidRDefault="005C4A8E" w:rsidP="004135B2">
      <w:pPr>
        <w:pStyle w:val="Caption"/>
        <w:keepNext/>
        <w:rPr>
          <w:lang w:val="en-GB"/>
        </w:rPr>
      </w:pPr>
      <w:r>
        <w:lastRenderedPageBreak/>
        <w:t xml:space="preserve">Figure </w:t>
      </w:r>
      <w:r w:rsidR="00755984">
        <w:fldChar w:fldCharType="begin"/>
      </w:r>
      <w:r w:rsidR="00755984">
        <w:instrText xml:space="preserve"> SEQ Figure \* ARABIC </w:instrText>
      </w:r>
      <w:r w:rsidR="00755984">
        <w:fldChar w:fldCharType="separate"/>
      </w:r>
      <w:r w:rsidR="00755984">
        <w:rPr>
          <w:noProof/>
        </w:rPr>
        <w:t>2</w:t>
      </w:r>
      <w:r w:rsidR="00755984">
        <w:rPr>
          <w:noProof/>
        </w:rPr>
        <w:fldChar w:fldCharType="end"/>
      </w:r>
      <w:r>
        <w:t xml:space="preserve">: </w:t>
      </w:r>
      <w:r w:rsidR="008825F5" w:rsidRPr="008825F5">
        <w:rPr>
          <w:lang w:val="en-GB"/>
        </w:rPr>
        <w:t>Change in average temperature for Mallee</w:t>
      </w:r>
    </w:p>
    <w:p w14:paraId="40ED1864" w14:textId="5ECA9AA9" w:rsidR="00232121" w:rsidRDefault="00E86ADB" w:rsidP="00200D20">
      <w:pPr>
        <w:pStyle w:val="BodyText"/>
        <w:spacing w:after="0"/>
      </w:pPr>
      <w:r>
        <w:rPr>
          <w:noProof/>
        </w:rPr>
        <w:drawing>
          <wp:inline distT="0" distB="0" distL="0" distR="0" wp14:anchorId="1D9C3664" wp14:editId="1FBB3B9D">
            <wp:extent cx="4680000" cy="2418523"/>
            <wp:effectExtent l="0" t="0" r="0" b="0"/>
            <wp:docPr id="878656649" name="Picture 2" descr="A graph representing projected changes in annual mean temperature over the Mallee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56649" name="Picture 2" descr="A graph representing projected changes in annual mean temperature over the Mallee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6"/>
                    <a:stretch>
                      <a:fillRect/>
                    </a:stretch>
                  </pic:blipFill>
                  <pic:spPr>
                    <a:xfrm>
                      <a:off x="0" y="0"/>
                      <a:ext cx="4680000" cy="2418523"/>
                    </a:xfrm>
                    <a:prstGeom prst="rect">
                      <a:avLst/>
                    </a:prstGeom>
                  </pic:spPr>
                </pic:pic>
              </a:graphicData>
            </a:graphic>
          </wp:inline>
        </w:drawing>
      </w:r>
    </w:p>
    <w:p w14:paraId="37673055" w14:textId="3156BF4A" w:rsidR="008825F5" w:rsidRPr="008825F5" w:rsidRDefault="00200D20" w:rsidP="00E86ADB">
      <w:pPr>
        <w:pStyle w:val="BodyText"/>
        <w:spacing w:before="120"/>
        <w:rPr>
          <w:b/>
          <w:bCs/>
        </w:rPr>
      </w:pPr>
      <w:r w:rsidRPr="00200D20">
        <w:rPr>
          <w:b/>
          <w:bCs/>
        </w:rPr>
        <w:t xml:space="preserve">Figure 2. </w:t>
      </w:r>
      <w:r w:rsidR="008825F5" w:rsidRPr="008825F5">
        <w:rPr>
          <w:b/>
          <w:bCs/>
        </w:rPr>
        <w:t>Projected changes in annual mean temperature over the Mallee region, for low emissions (blue) and high emissions (red) relative to a 1986–2005 baseline, for</w:t>
      </w:r>
      <w:r w:rsidR="004135B2">
        <w:rPr>
          <w:b/>
          <w:bCs/>
        </w:rPr>
        <w:t xml:space="preserve"> </w:t>
      </w:r>
      <w:r w:rsidR="008825F5" w:rsidRPr="008825F5">
        <w:rPr>
          <w:b/>
          <w:bCs/>
        </w:rPr>
        <w:t xml:space="preserve">four future time periods. </w:t>
      </w:r>
      <w:r w:rsidR="008825F5" w:rsidRPr="008825F5">
        <w:t>Data sourced from Australia-wide and</w:t>
      </w:r>
      <w:r w:rsidR="004135B2">
        <w:t xml:space="preserve"> </w:t>
      </w:r>
      <w:r w:rsidR="008825F5" w:rsidRPr="008825F5">
        <w:t>NARCliM2.0 ~4 km climate modelling. See guidance on</w:t>
      </w:r>
      <w:r w:rsidR="004135B2">
        <w:t xml:space="preserve"> </w:t>
      </w:r>
      <w:r w:rsidR="008825F5" w:rsidRPr="008825F5">
        <w:t>interpreting this figure at the back of the report.</w:t>
      </w:r>
    </w:p>
    <w:p w14:paraId="72C30C9A" w14:textId="177544A4" w:rsidR="008825F5" w:rsidRPr="008825F5" w:rsidRDefault="008825F5" w:rsidP="008825F5">
      <w:pPr>
        <w:pStyle w:val="Heading1"/>
      </w:pPr>
      <w:bookmarkStart w:id="3" w:name="_Toc189831235"/>
      <w:r w:rsidRPr="008825F5">
        <w:t>Heat extremes in Mallee region will continue to become hotter and more frequent</w:t>
      </w:r>
      <w:bookmarkEnd w:id="3"/>
    </w:p>
    <w:p w14:paraId="66B4E2DE" w14:textId="478E896B" w:rsidR="00A75733" w:rsidRDefault="008825F5" w:rsidP="008825F5">
      <w:pPr>
        <w:pStyle w:val="BodyText"/>
        <w:rPr>
          <w:b/>
          <w:bCs/>
        </w:rPr>
      </w:pPr>
      <w:r w:rsidRPr="008825F5">
        <w:rPr>
          <w:b/>
          <w:bCs/>
        </w:rPr>
        <w:t>As warming continues, we expect to experience more frequent hot days, hotter temperatures and longer, more frequent and</w:t>
      </w:r>
      <w:r w:rsidR="004135B2">
        <w:rPr>
          <w:b/>
          <w:bCs/>
        </w:rPr>
        <w:t xml:space="preserve"> </w:t>
      </w:r>
      <w:r w:rsidRPr="008825F5">
        <w:rPr>
          <w:b/>
          <w:bCs/>
        </w:rPr>
        <w:t>more intense heatwaves.</w:t>
      </w:r>
    </w:p>
    <w:p w14:paraId="22840A71" w14:textId="0A70C87F" w:rsidR="00A75733" w:rsidRDefault="008825F5" w:rsidP="008825F5">
      <w:pPr>
        <w:pStyle w:val="BodyText"/>
      </w:pPr>
      <w:r w:rsidRPr="008825F5">
        <w:t>Mildura experienced an average of 7.6 hot days (above</w:t>
      </w:r>
      <w:r w:rsidR="004135B2">
        <w:t xml:space="preserve"> </w:t>
      </w:r>
      <w:r w:rsidRPr="008825F5">
        <w:t xml:space="preserve">41.1 °C) per year from 2003–2022, up from an average of 3–4 per year from 1986–2005 (Table 1). </w:t>
      </w:r>
      <w:r>
        <w:t>(</w:t>
      </w:r>
      <w:r w:rsidRPr="008825F5">
        <w:rPr>
          <w:lang w:val="en-AU"/>
        </w:rPr>
        <w:t>‘Hot days’ defined as days above the 99th percentile maximum daily temperature (occurring on average 3–4 times per year) in the historical baseline climate.</w:t>
      </w:r>
      <w:r>
        <w:t xml:space="preserve">) </w:t>
      </w:r>
      <w:r w:rsidRPr="008825F5">
        <w:t>The</w:t>
      </w:r>
      <w:r w:rsidR="004135B2">
        <w:t xml:space="preserve"> </w:t>
      </w:r>
      <w:r w:rsidRPr="008825F5">
        <w:t>number of very hot days (above 4</w:t>
      </w:r>
      <w:r w:rsidR="00DA0326">
        <w:t>4</w:t>
      </w:r>
      <w:r w:rsidRPr="008825F5">
        <w:t>.</w:t>
      </w:r>
      <w:r w:rsidR="00DA0326">
        <w:t>3</w:t>
      </w:r>
      <w:r w:rsidRPr="008825F5">
        <w:t xml:space="preserve"> °C) has increased more dramatically over the same period, from 4 to 23 per decade.</w:t>
      </w:r>
      <w:r>
        <w:t xml:space="preserve"> (</w:t>
      </w:r>
      <w:r w:rsidRPr="008825F5">
        <w:rPr>
          <w:lang w:val="en-AU"/>
        </w:rPr>
        <w:t>‘Very hot days’ defined as days above the 99.9th percentile maximum daily temperature (occurring on average 3–4 times per decade) in the historical baseline climate.</w:t>
      </w:r>
      <w:r>
        <w:t>)</w:t>
      </w:r>
    </w:p>
    <w:p w14:paraId="6AEF87CF" w14:textId="1DDCCBDF" w:rsidR="00A75733" w:rsidRDefault="008825F5" w:rsidP="00B876DB">
      <w:pPr>
        <w:pStyle w:val="BodyText"/>
        <w:spacing w:after="60"/>
      </w:pPr>
      <w:r w:rsidRPr="008F2AB2">
        <w:rPr>
          <w:b/>
          <w:bCs/>
        </w:rPr>
        <w:lastRenderedPageBreak/>
        <w:t>Hot days</w:t>
      </w:r>
      <w:r w:rsidRPr="008825F5">
        <w:t xml:space="preserve"> are expected to continue to become more frequent over the region. By 2050, the NARCliM2.0 ~4 km climate modelling projects that hot days could occur on average almost 3 times as often under the high emissions scenario, or more than 4 times as often according to ‘low-likelihood high-warming’ models. By 2090, under the high emissions scenario, hot days could occur almost 5 times as often. The frequency of very hot days is projected to increase even more, for example roughly 10 times as often by 2090 under the high emissions scenario.</w:t>
      </w:r>
    </w:p>
    <w:p w14:paraId="556D69AD" w14:textId="219119F3" w:rsidR="00231C70" w:rsidRDefault="00231C70" w:rsidP="00E86ADB">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O</w:t>
      </w:r>
      <w:r w:rsidRPr="00610E54">
        <w:t xml:space="preserve">bserved </w:t>
      </w:r>
      <w:r w:rsidR="00D16C60">
        <w:t xml:space="preserve">and projected </w:t>
      </w:r>
      <w:r w:rsidRPr="00610E54">
        <w:t xml:space="preserve">average number of hot days </w:t>
      </w:r>
      <w:r>
        <w:t xml:space="preserve">and </w:t>
      </w:r>
      <w:r w:rsidRPr="00610E54">
        <w:t>very hot days</w:t>
      </w:r>
    </w:p>
    <w:p w14:paraId="617BFBDF" w14:textId="6A60F79C" w:rsidR="00231C70" w:rsidRPr="008825F5" w:rsidRDefault="008825F5" w:rsidP="008825F5">
      <w:pPr>
        <w:spacing w:after="120"/>
        <w:rPr>
          <w:b/>
          <w:bCs/>
          <w:lang w:val="en-GB"/>
        </w:rPr>
      </w:pPr>
      <w:r w:rsidRPr="008825F5">
        <w:rPr>
          <w:b/>
          <w:bCs/>
          <w:lang w:val="en-GB"/>
        </w:rPr>
        <w:t>Hot days per year (41.</w:t>
      </w:r>
      <w:r w:rsidR="001470B0">
        <w:rPr>
          <w:b/>
          <w:bCs/>
          <w:lang w:val="en-GB"/>
        </w:rPr>
        <w:t>1</w:t>
      </w:r>
      <w:r w:rsidRPr="008825F5">
        <w:rPr>
          <w:b/>
          <w:bCs/>
          <w:lang w:val="en-GB"/>
        </w:rPr>
        <w:t xml:space="preserve"> °C for Mildura)</w:t>
      </w:r>
    </w:p>
    <w:tbl>
      <w:tblPr>
        <w:tblStyle w:val="Style2"/>
        <w:tblW w:w="5000" w:type="pct"/>
        <w:tblLook w:val="0020" w:firstRow="1" w:lastRow="0" w:firstColumn="0" w:lastColumn="0" w:noHBand="0" w:noVBand="0"/>
        <w:tblCaption w:val="Hot days per year (41.8 °C for Mildura)"/>
      </w:tblPr>
      <w:tblGrid>
        <w:gridCol w:w="2120"/>
        <w:gridCol w:w="2168"/>
        <w:gridCol w:w="2671"/>
        <w:gridCol w:w="2669"/>
      </w:tblGrid>
      <w:tr w:rsidR="00231C70" w:rsidRPr="00200D20" w14:paraId="045944A1" w14:textId="77777777" w:rsidTr="008825F5">
        <w:trPr>
          <w:cnfStyle w:val="100000000000" w:firstRow="1" w:lastRow="0" w:firstColumn="0" w:lastColumn="0" w:oddVBand="0" w:evenVBand="0" w:oddHBand="0" w:evenHBand="0" w:firstRowFirstColumn="0" w:firstRowLastColumn="0" w:lastRowFirstColumn="0" w:lastRowLastColumn="0"/>
          <w:trHeight w:val="60"/>
          <w:tblHeader/>
        </w:trPr>
        <w:tc>
          <w:tcPr>
            <w:tcW w:w="1101" w:type="pct"/>
          </w:tcPr>
          <w:p w14:paraId="6C7A74AC" w14:textId="77777777" w:rsidR="00231C70" w:rsidRPr="00200D20" w:rsidRDefault="00231C70" w:rsidP="00D44F85">
            <w:pPr>
              <w:pStyle w:val="Tabletext"/>
              <w:spacing w:after="60" w:line="240" w:lineRule="auto"/>
              <w:jc w:val="center"/>
            </w:pPr>
            <w:r w:rsidRPr="00200D20">
              <w:t xml:space="preserve">1986–2005 </w:t>
            </w:r>
            <w:r w:rsidRPr="00200D20">
              <w:br/>
              <w:t>observed</w:t>
            </w:r>
          </w:p>
        </w:tc>
        <w:tc>
          <w:tcPr>
            <w:tcW w:w="1126" w:type="pct"/>
          </w:tcPr>
          <w:p w14:paraId="30DAE272" w14:textId="77777777" w:rsidR="00231C70" w:rsidRPr="00200D20" w:rsidRDefault="00231C70" w:rsidP="00D44F85">
            <w:pPr>
              <w:pStyle w:val="Tabletext"/>
              <w:spacing w:after="60" w:line="240" w:lineRule="auto"/>
              <w:jc w:val="center"/>
            </w:pPr>
            <w:r w:rsidRPr="00200D20">
              <w:t xml:space="preserve">2003–2022 </w:t>
            </w:r>
            <w:r w:rsidRPr="00200D20">
              <w:br/>
              <w:t>observed</w:t>
            </w:r>
          </w:p>
        </w:tc>
        <w:tc>
          <w:tcPr>
            <w:tcW w:w="1387" w:type="pct"/>
          </w:tcPr>
          <w:p w14:paraId="582E01E9" w14:textId="77777777" w:rsidR="00231C70" w:rsidRPr="00200D20" w:rsidRDefault="00231C70" w:rsidP="00D44F85">
            <w:pPr>
              <w:pStyle w:val="Tabletext"/>
              <w:spacing w:after="60" w:line="240" w:lineRule="auto"/>
              <w:jc w:val="center"/>
            </w:pPr>
            <w:r w:rsidRPr="00200D20">
              <w:t xml:space="preserve">2040–2059 </w:t>
            </w:r>
            <w:r>
              <w:br/>
            </w:r>
            <w:r w:rsidRPr="00200D20">
              <w:t>high emissions</w:t>
            </w:r>
          </w:p>
        </w:tc>
        <w:tc>
          <w:tcPr>
            <w:tcW w:w="1386" w:type="pct"/>
          </w:tcPr>
          <w:p w14:paraId="780C20F5" w14:textId="77777777" w:rsidR="00231C70" w:rsidRPr="00200D20" w:rsidRDefault="00231C70" w:rsidP="00D44F85">
            <w:pPr>
              <w:pStyle w:val="Tabletext"/>
              <w:spacing w:after="60" w:line="240" w:lineRule="auto"/>
              <w:jc w:val="center"/>
            </w:pPr>
            <w:r w:rsidRPr="00200D20">
              <w:t xml:space="preserve">2090 </w:t>
            </w:r>
            <w:r>
              <w:br/>
            </w:r>
            <w:r w:rsidRPr="00200D20">
              <w:t>high emissions</w:t>
            </w:r>
          </w:p>
        </w:tc>
      </w:tr>
      <w:tr w:rsidR="008825F5" w:rsidRPr="00200D20" w14:paraId="1EB58384" w14:textId="77777777" w:rsidTr="008825F5">
        <w:trPr>
          <w:trHeight w:val="60"/>
        </w:trPr>
        <w:tc>
          <w:tcPr>
            <w:tcW w:w="1101" w:type="pct"/>
          </w:tcPr>
          <w:p w14:paraId="6FAA7E12" w14:textId="7DD052F9" w:rsidR="008825F5" w:rsidRPr="00200D20" w:rsidRDefault="008825F5" w:rsidP="008825F5">
            <w:pPr>
              <w:pStyle w:val="Tabletext"/>
              <w:spacing w:line="240" w:lineRule="auto"/>
              <w:jc w:val="center"/>
            </w:pPr>
            <w:r>
              <w:t>3.7</w:t>
            </w:r>
          </w:p>
        </w:tc>
        <w:tc>
          <w:tcPr>
            <w:tcW w:w="1126" w:type="pct"/>
          </w:tcPr>
          <w:p w14:paraId="7AB37178" w14:textId="34FD92DF" w:rsidR="008825F5" w:rsidRPr="00200D20" w:rsidRDefault="008825F5" w:rsidP="008825F5">
            <w:pPr>
              <w:pStyle w:val="Tabletext"/>
              <w:spacing w:line="240" w:lineRule="auto"/>
              <w:jc w:val="center"/>
            </w:pPr>
            <w:r>
              <w:t>7.6</w:t>
            </w:r>
          </w:p>
        </w:tc>
        <w:tc>
          <w:tcPr>
            <w:tcW w:w="1387" w:type="pct"/>
          </w:tcPr>
          <w:p w14:paraId="51150F3D" w14:textId="17716D4F" w:rsidR="008825F5" w:rsidRPr="00200D20" w:rsidRDefault="008825F5" w:rsidP="008825F5">
            <w:pPr>
              <w:pStyle w:val="Tabletext"/>
              <w:spacing w:line="240" w:lineRule="auto"/>
              <w:jc w:val="center"/>
            </w:pPr>
            <w:r>
              <w:t>3–11 (17*)</w:t>
            </w:r>
          </w:p>
        </w:tc>
        <w:tc>
          <w:tcPr>
            <w:tcW w:w="1386" w:type="pct"/>
          </w:tcPr>
          <w:p w14:paraId="2FF680BC" w14:textId="12236E73" w:rsidR="008825F5" w:rsidRPr="00200D20" w:rsidRDefault="008825F5" w:rsidP="008825F5">
            <w:pPr>
              <w:pStyle w:val="Tabletext"/>
              <w:spacing w:line="240" w:lineRule="auto"/>
              <w:jc w:val="center"/>
            </w:pPr>
            <w:r>
              <w:t>7–22 (28*)</w:t>
            </w:r>
          </w:p>
        </w:tc>
      </w:tr>
    </w:tbl>
    <w:p w14:paraId="3482F98C" w14:textId="13FF94ED" w:rsidR="008825F5" w:rsidRPr="008825F5" w:rsidRDefault="008825F5" w:rsidP="00E86ADB">
      <w:pPr>
        <w:spacing w:before="240" w:after="120"/>
        <w:rPr>
          <w:b/>
          <w:bCs/>
          <w:lang w:val="en-GB"/>
        </w:rPr>
      </w:pPr>
      <w:r w:rsidRPr="008825F5">
        <w:rPr>
          <w:b/>
          <w:bCs/>
          <w:lang w:val="en-GB"/>
        </w:rPr>
        <w:t>Very hot days per decade (4</w:t>
      </w:r>
      <w:r w:rsidR="001470B0">
        <w:rPr>
          <w:b/>
          <w:bCs/>
          <w:lang w:val="en-GB"/>
        </w:rPr>
        <w:t>4</w:t>
      </w:r>
      <w:r w:rsidRPr="008825F5">
        <w:rPr>
          <w:b/>
          <w:bCs/>
          <w:lang w:val="en-GB"/>
        </w:rPr>
        <w:t>.</w:t>
      </w:r>
      <w:r w:rsidR="001470B0">
        <w:rPr>
          <w:b/>
          <w:bCs/>
          <w:lang w:val="en-GB"/>
        </w:rPr>
        <w:t>3</w:t>
      </w:r>
      <w:r w:rsidRPr="008825F5">
        <w:rPr>
          <w:b/>
          <w:bCs/>
          <w:lang w:val="en-GB"/>
        </w:rPr>
        <w:t xml:space="preserve"> °C for Mildura)</w:t>
      </w:r>
    </w:p>
    <w:tbl>
      <w:tblPr>
        <w:tblStyle w:val="Style2"/>
        <w:tblW w:w="5000" w:type="pct"/>
        <w:tblLook w:val="0020" w:firstRow="1" w:lastRow="0" w:firstColumn="0" w:lastColumn="0" w:noHBand="0" w:noVBand="0"/>
        <w:tblCaption w:val="Very hot days per decade (45.5 °C for Mildura)"/>
      </w:tblPr>
      <w:tblGrid>
        <w:gridCol w:w="2120"/>
        <w:gridCol w:w="2168"/>
        <w:gridCol w:w="2671"/>
        <w:gridCol w:w="2669"/>
      </w:tblGrid>
      <w:tr w:rsidR="00231C70" w:rsidRPr="00200D20" w14:paraId="68E24C55" w14:textId="77777777" w:rsidTr="008825F5">
        <w:trPr>
          <w:cnfStyle w:val="100000000000" w:firstRow="1" w:lastRow="0" w:firstColumn="0" w:lastColumn="0" w:oddVBand="0" w:evenVBand="0" w:oddHBand="0" w:evenHBand="0" w:firstRowFirstColumn="0" w:firstRowLastColumn="0" w:lastRowFirstColumn="0" w:lastRowLastColumn="0"/>
          <w:trHeight w:val="60"/>
          <w:tblHeader/>
        </w:trPr>
        <w:tc>
          <w:tcPr>
            <w:tcW w:w="1101" w:type="pct"/>
          </w:tcPr>
          <w:p w14:paraId="25DF3B2F" w14:textId="77777777" w:rsidR="00231C70" w:rsidRPr="00200D20" w:rsidRDefault="00231C70" w:rsidP="00D44F85">
            <w:pPr>
              <w:pStyle w:val="Tabletext"/>
              <w:spacing w:after="60" w:line="240" w:lineRule="auto"/>
              <w:jc w:val="center"/>
            </w:pPr>
            <w:r w:rsidRPr="00200D20">
              <w:t xml:space="preserve">1986–2005 </w:t>
            </w:r>
            <w:r w:rsidRPr="00200D20">
              <w:br/>
              <w:t>observed</w:t>
            </w:r>
          </w:p>
        </w:tc>
        <w:tc>
          <w:tcPr>
            <w:tcW w:w="1126" w:type="pct"/>
          </w:tcPr>
          <w:p w14:paraId="7FEE3B2F" w14:textId="77777777" w:rsidR="00231C70" w:rsidRPr="00200D20" w:rsidRDefault="00231C70" w:rsidP="00D44F85">
            <w:pPr>
              <w:pStyle w:val="Tabletext"/>
              <w:spacing w:after="60" w:line="240" w:lineRule="auto"/>
              <w:jc w:val="center"/>
            </w:pPr>
            <w:r w:rsidRPr="00200D20">
              <w:t xml:space="preserve">2003–2022 </w:t>
            </w:r>
            <w:r w:rsidRPr="00200D20">
              <w:br/>
              <w:t>observed</w:t>
            </w:r>
          </w:p>
        </w:tc>
        <w:tc>
          <w:tcPr>
            <w:tcW w:w="1387" w:type="pct"/>
          </w:tcPr>
          <w:p w14:paraId="7161745B" w14:textId="77777777" w:rsidR="00231C70" w:rsidRPr="00200D20" w:rsidRDefault="00231C70" w:rsidP="00D44F85">
            <w:pPr>
              <w:pStyle w:val="Tabletext"/>
              <w:spacing w:after="60" w:line="240" w:lineRule="auto"/>
              <w:jc w:val="center"/>
            </w:pPr>
            <w:r w:rsidRPr="00200D20">
              <w:t xml:space="preserve">2040–2059 </w:t>
            </w:r>
            <w:r>
              <w:br/>
            </w:r>
            <w:r w:rsidRPr="00200D20">
              <w:t>high emissions</w:t>
            </w:r>
          </w:p>
        </w:tc>
        <w:tc>
          <w:tcPr>
            <w:tcW w:w="1386" w:type="pct"/>
          </w:tcPr>
          <w:p w14:paraId="42B9B1AF" w14:textId="77777777" w:rsidR="00231C70" w:rsidRPr="00200D20" w:rsidRDefault="00231C70" w:rsidP="00D44F85">
            <w:pPr>
              <w:pStyle w:val="Tabletext"/>
              <w:spacing w:after="60" w:line="240" w:lineRule="auto"/>
              <w:jc w:val="center"/>
            </w:pPr>
            <w:r w:rsidRPr="00200D20">
              <w:t xml:space="preserve">2090 </w:t>
            </w:r>
            <w:r>
              <w:br/>
            </w:r>
            <w:r w:rsidRPr="00200D20">
              <w:t>high emissions</w:t>
            </w:r>
          </w:p>
        </w:tc>
      </w:tr>
      <w:tr w:rsidR="008825F5" w:rsidRPr="00200D20" w14:paraId="5CBB0436" w14:textId="77777777" w:rsidTr="008825F5">
        <w:trPr>
          <w:trHeight w:val="60"/>
        </w:trPr>
        <w:tc>
          <w:tcPr>
            <w:tcW w:w="1101" w:type="pct"/>
          </w:tcPr>
          <w:p w14:paraId="4C9736D7" w14:textId="6863A423" w:rsidR="008825F5" w:rsidRPr="00200D20" w:rsidRDefault="008825F5" w:rsidP="008825F5">
            <w:pPr>
              <w:pStyle w:val="Tabletext"/>
              <w:spacing w:line="240" w:lineRule="auto"/>
              <w:jc w:val="center"/>
            </w:pPr>
            <w:r>
              <w:t>4</w:t>
            </w:r>
          </w:p>
        </w:tc>
        <w:tc>
          <w:tcPr>
            <w:tcW w:w="1126" w:type="pct"/>
          </w:tcPr>
          <w:p w14:paraId="601FA767" w14:textId="07519EB0" w:rsidR="008825F5" w:rsidRPr="00200D20" w:rsidRDefault="008825F5" w:rsidP="008825F5">
            <w:pPr>
              <w:pStyle w:val="Tabletext"/>
              <w:spacing w:line="240" w:lineRule="auto"/>
              <w:jc w:val="center"/>
            </w:pPr>
            <w:r>
              <w:t>12</w:t>
            </w:r>
          </w:p>
        </w:tc>
        <w:tc>
          <w:tcPr>
            <w:tcW w:w="1387" w:type="pct"/>
          </w:tcPr>
          <w:p w14:paraId="3965F754" w14:textId="25E1BFF1" w:rsidR="008825F5" w:rsidRPr="00200D20" w:rsidRDefault="008825F5" w:rsidP="008825F5">
            <w:pPr>
              <w:pStyle w:val="Tabletext"/>
              <w:spacing w:line="240" w:lineRule="auto"/>
              <w:jc w:val="center"/>
            </w:pPr>
            <w:r>
              <w:t>4–21 (74*)</w:t>
            </w:r>
          </w:p>
        </w:tc>
        <w:tc>
          <w:tcPr>
            <w:tcW w:w="1386" w:type="pct"/>
          </w:tcPr>
          <w:p w14:paraId="17CE3459" w14:textId="293646FC" w:rsidR="008825F5" w:rsidRPr="00200D20" w:rsidRDefault="008825F5" w:rsidP="008825F5">
            <w:pPr>
              <w:pStyle w:val="Tabletext"/>
              <w:spacing w:line="240" w:lineRule="auto"/>
              <w:jc w:val="center"/>
            </w:pPr>
            <w:r>
              <w:t>8–67 (130*)</w:t>
            </w:r>
          </w:p>
        </w:tc>
      </w:tr>
    </w:tbl>
    <w:p w14:paraId="451EF9C3" w14:textId="3D3135D7" w:rsidR="008825F5" w:rsidRPr="008825F5" w:rsidRDefault="00200D20" w:rsidP="00E86ADB">
      <w:pPr>
        <w:pStyle w:val="BodyText"/>
        <w:spacing w:before="360"/>
      </w:pPr>
      <w:r w:rsidRPr="00610E54">
        <w:rPr>
          <w:b/>
          <w:bCs/>
        </w:rPr>
        <w:t xml:space="preserve">Table 1. </w:t>
      </w:r>
      <w:r w:rsidR="008825F5" w:rsidRPr="008825F5">
        <w:rPr>
          <w:b/>
          <w:bCs/>
        </w:rPr>
        <w:t>The historical observed average number of hot days (41</w:t>
      </w:r>
      <w:r w:rsidR="001470B0">
        <w:rPr>
          <w:b/>
          <w:bCs/>
        </w:rPr>
        <w:t>.1</w:t>
      </w:r>
      <w:r w:rsidR="008825F5" w:rsidRPr="008825F5">
        <w:rPr>
          <w:b/>
          <w:bCs/>
        </w:rPr>
        <w:t xml:space="preserve"> °C) per year and very hot days (44.3 °C) per decade at Mildura for 1986–2005 and 2003–2022, and projected future number of days for 2050 (2040–2059) and 2090 (2080–2099) under a high emissions scenario. </w:t>
      </w:r>
      <w:r w:rsidR="004D5D9B" w:rsidRPr="004D5D9B">
        <w:t>Data sourced from the Australian Gridded Climate Dataset (AGCD) for observed temperature and from NARCliM2.0 ~4 km climate simulations for future projections, with low-likelihood high-warming projections noted additionally with *.</w:t>
      </w:r>
    </w:p>
    <w:p w14:paraId="06FBE388" w14:textId="77777777" w:rsidR="00A75733" w:rsidRDefault="008825F5" w:rsidP="008825F5">
      <w:pPr>
        <w:pStyle w:val="BodyText"/>
      </w:pPr>
      <w:r w:rsidRPr="008825F5">
        <w:t>Heat extremes are expected to become hotter in a warming climate (Figure 3). Temperature extremes are projected to warm more than average temperatures.</w:t>
      </w:r>
    </w:p>
    <w:p w14:paraId="30F709B4" w14:textId="77777777" w:rsidR="00A75733" w:rsidRDefault="008825F5" w:rsidP="00B876DB">
      <w:pPr>
        <w:pStyle w:val="BodyText"/>
        <w:spacing w:after="100"/>
      </w:pPr>
      <w:r w:rsidRPr="008825F5">
        <w:t xml:space="preserve">Under a high emissions scenario, the new regional climate model simulations project that very hot days will become 0.9–2.3 °C hotter by 2050, and 2.5–4.0 °C hotter by 2090 </w:t>
      </w:r>
      <w:r w:rsidRPr="008825F5">
        <w:lastRenderedPageBreak/>
        <w:t>(Figure 3). This means that what was previously a 44 °C day could be closer to 46 °C by 2050 or 48 °C by 2090.</w:t>
      </w:r>
    </w:p>
    <w:p w14:paraId="36995012" w14:textId="36413294" w:rsidR="00200D20" w:rsidRPr="008825F5" w:rsidRDefault="008825F5" w:rsidP="00B876DB">
      <w:pPr>
        <w:pStyle w:val="BodyText"/>
        <w:spacing w:after="100"/>
      </w:pPr>
      <w:r w:rsidRPr="008825F5">
        <w:rPr>
          <w:lang w:val="en-AU"/>
        </w:rPr>
        <w:t>Importantly, hot minimum temperatures (for example hot night-time temperatures) are also expected to get</w:t>
      </w:r>
      <w:r w:rsidR="004135B2">
        <w:rPr>
          <w:lang w:val="en-AU"/>
        </w:rPr>
        <w:t xml:space="preserve"> </w:t>
      </w:r>
      <w:r w:rsidRPr="008825F5">
        <w:rPr>
          <w:lang w:val="en-AU"/>
        </w:rPr>
        <w:t>hotter</w:t>
      </w:r>
      <w:r w:rsidR="00200D20" w:rsidRPr="008825F5">
        <w:t>.</w:t>
      </w:r>
    </w:p>
    <w:p w14:paraId="16B067AA" w14:textId="310DAF7C" w:rsidR="00663C19" w:rsidRPr="008E5613" w:rsidRDefault="00663C19" w:rsidP="00B876DB">
      <w:pPr>
        <w:pStyle w:val="Caption"/>
        <w:keepNext/>
        <w:spacing w:before="0" w:after="0"/>
      </w:pPr>
      <w:r>
        <w:t xml:space="preserve">Figure </w:t>
      </w:r>
      <w:r w:rsidR="00755984">
        <w:fldChar w:fldCharType="begin"/>
      </w:r>
      <w:r w:rsidR="00755984">
        <w:instrText xml:space="preserve"> SEQ Figure \* ARABIC </w:instrText>
      </w:r>
      <w:r w:rsidR="00755984">
        <w:fldChar w:fldCharType="separate"/>
      </w:r>
      <w:r w:rsidR="00755984">
        <w:rPr>
          <w:noProof/>
        </w:rPr>
        <w:t>3</w:t>
      </w:r>
      <w:r w:rsidR="00755984">
        <w:rPr>
          <w:noProof/>
        </w:rPr>
        <w:fldChar w:fldCharType="end"/>
      </w:r>
      <w:r>
        <w:t xml:space="preserve">: </w:t>
      </w:r>
      <w:r w:rsidR="008E5613" w:rsidRPr="008E5613">
        <w:t>Change in very hot day temperature for</w:t>
      </w:r>
      <w:r w:rsidR="004135B2">
        <w:t xml:space="preserve"> </w:t>
      </w:r>
      <w:r w:rsidR="008E5613" w:rsidRPr="008E5613">
        <w:t>Mallee</w:t>
      </w:r>
    </w:p>
    <w:p w14:paraId="7A4725F2" w14:textId="1C022F57" w:rsidR="00200D20" w:rsidRPr="00200D20" w:rsidRDefault="00E86ADB" w:rsidP="00200D20">
      <w:pPr>
        <w:pStyle w:val="BodyText"/>
      </w:pPr>
      <w:r>
        <w:rPr>
          <w:noProof/>
        </w:rPr>
        <w:drawing>
          <wp:inline distT="0" distB="0" distL="0" distR="0" wp14:anchorId="1ADEEC42" wp14:editId="3E386754">
            <wp:extent cx="4680000" cy="2592973"/>
            <wp:effectExtent l="0" t="0" r="0" b="0"/>
            <wp:docPr id="1192590361" name="Picture 3" descr="A graph representing projected changes in the temperature of very hot days (days with daily maximum temperature exceeding 99.9th percentile) over the Mallee region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90361" name="Picture 3" descr="A graph representing projected changes in the temperature of very hot days (days with daily maximum temperature exceeding 99.9th percentile) over the Mallee region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7"/>
                    <a:stretch>
                      <a:fillRect/>
                    </a:stretch>
                  </pic:blipFill>
                  <pic:spPr>
                    <a:xfrm>
                      <a:off x="0" y="0"/>
                      <a:ext cx="4680000" cy="2592973"/>
                    </a:xfrm>
                    <a:prstGeom prst="rect">
                      <a:avLst/>
                    </a:prstGeom>
                  </pic:spPr>
                </pic:pic>
              </a:graphicData>
            </a:graphic>
          </wp:inline>
        </w:drawing>
      </w:r>
    </w:p>
    <w:p w14:paraId="484E6619" w14:textId="46363BC8" w:rsidR="008E5613" w:rsidRPr="008E5613" w:rsidRDefault="00200D20" w:rsidP="00B876DB">
      <w:pPr>
        <w:pStyle w:val="BodyText"/>
        <w:spacing w:after="120"/>
        <w:rPr>
          <w:b/>
          <w:bCs/>
        </w:rPr>
      </w:pPr>
      <w:r w:rsidRPr="00610E54">
        <w:rPr>
          <w:b/>
          <w:bCs/>
        </w:rPr>
        <w:t xml:space="preserve">Figure 3. </w:t>
      </w:r>
      <w:r w:rsidR="008E5613" w:rsidRPr="008E5613">
        <w:rPr>
          <w:b/>
          <w:bCs/>
        </w:rPr>
        <w:t>Projected changes in the temperature of very hot days (99.9th percentile) over the Mallee for low emissions (blue) and high emissions (red) relative to a 1986–2005 baseline, for four future time periods.</w:t>
      </w:r>
      <w:r w:rsidR="008E5613" w:rsidRPr="008E5613">
        <w:t xml:space="preserve"> Data sourced from Australia-wide and NARCliM2.0 ~4 km climate modelling. See guidance on interpreting this figure</w:t>
      </w:r>
      <w:r w:rsidR="004135B2">
        <w:t xml:space="preserve"> </w:t>
      </w:r>
      <w:r w:rsidR="008E5613" w:rsidRPr="008E5613">
        <w:t>at</w:t>
      </w:r>
      <w:r w:rsidR="004135B2">
        <w:t xml:space="preserve"> </w:t>
      </w:r>
      <w:r w:rsidR="008E5613" w:rsidRPr="008E5613">
        <w:t>the back of the report.</w:t>
      </w:r>
    </w:p>
    <w:p w14:paraId="02AF9A69" w14:textId="39749AA4" w:rsidR="008E5613" w:rsidRPr="008E5613" w:rsidRDefault="008E5613" w:rsidP="00B876DB">
      <w:pPr>
        <w:pStyle w:val="BodyText"/>
        <w:spacing w:after="120"/>
      </w:pPr>
      <w:r w:rsidRPr="00013B52">
        <w:rPr>
          <w:b/>
          <w:bCs/>
        </w:rPr>
        <w:t>Heatwaves</w:t>
      </w:r>
      <w:r w:rsidRPr="008E5613">
        <w:t xml:space="preserve"> are prolonged periods of excessive heat that generally last for at least three or more successive days. Since the 1950s the intensity, frequency and duration of heatwaves in Victoria have increased, and the typical Victorian heatwave season has become longer. The observed trends have accelerated over the</w:t>
      </w:r>
      <w:r w:rsidR="004135B2">
        <w:t xml:space="preserve"> </w:t>
      </w:r>
      <w:r w:rsidRPr="008E5613">
        <w:t>past few decades and are projected to continue in</w:t>
      </w:r>
      <w:r w:rsidR="004135B2">
        <w:t xml:space="preserve"> </w:t>
      </w:r>
      <w:r w:rsidRPr="008E5613">
        <w:t>the future. Projected changes in heatwaves are larger for the high emissions scenario than for the low emissions scenario.</w:t>
      </w:r>
    </w:p>
    <w:p w14:paraId="1A08F834" w14:textId="14809BBF" w:rsidR="00200D20" w:rsidRPr="00200D20" w:rsidRDefault="008E5613" w:rsidP="00B876DB">
      <w:pPr>
        <w:pStyle w:val="BodyText"/>
        <w:spacing w:after="120"/>
      </w:pPr>
      <w:r w:rsidRPr="008E5613">
        <w:rPr>
          <w:lang w:val="en-AU"/>
        </w:rPr>
        <w:t>Chapter 4 of VCSR24 provides more information on heatwave and extreme heat hazards in Victoria</w:t>
      </w:r>
      <w:r w:rsidR="00231C70" w:rsidRPr="00231C70">
        <w:rPr>
          <w:lang w:val="en-AU"/>
        </w:rPr>
        <w:t>.</w:t>
      </w:r>
    </w:p>
    <w:p w14:paraId="11E6E4FA" w14:textId="68870E20" w:rsidR="00FA70C6" w:rsidRPr="00FA70C6" w:rsidRDefault="008E5613" w:rsidP="008E5613">
      <w:pPr>
        <w:pStyle w:val="Heading1"/>
      </w:pPr>
      <w:bookmarkStart w:id="4" w:name="_Toc189831236"/>
      <w:r w:rsidRPr="008E5613">
        <w:lastRenderedPageBreak/>
        <w:t>Rainfall across Mallee will continue to change</w:t>
      </w:r>
      <w:bookmarkEnd w:id="4"/>
    </w:p>
    <w:p w14:paraId="6CBAB238" w14:textId="1DAC82D9" w:rsidR="00A75733" w:rsidRDefault="008E5613" w:rsidP="008E5613">
      <w:pPr>
        <w:pStyle w:val="BodyText"/>
        <w:rPr>
          <w:b/>
          <w:bCs/>
        </w:rPr>
      </w:pPr>
      <w:r w:rsidRPr="008E5613">
        <w:rPr>
          <w:b/>
          <w:bCs/>
        </w:rPr>
        <w:t>A warmer climate will influence rainfall patterns and the total amount of rainfall that the Mallee receives. While it is likely that the Mallee will receive less rainfall in the cool season, projections for summer rainfall are less clear. Rainfall will continue to be highly</w:t>
      </w:r>
      <w:r w:rsidR="004135B2">
        <w:rPr>
          <w:b/>
          <w:bCs/>
        </w:rPr>
        <w:t xml:space="preserve"> </w:t>
      </w:r>
      <w:r w:rsidRPr="008E5613">
        <w:rPr>
          <w:b/>
          <w:bCs/>
        </w:rPr>
        <w:t>variable.</w:t>
      </w:r>
    </w:p>
    <w:p w14:paraId="5A2DD98B" w14:textId="103C19E9" w:rsidR="00FA70C6" w:rsidRPr="00231C70" w:rsidRDefault="008E5613" w:rsidP="008E5613">
      <w:pPr>
        <w:pStyle w:val="BodyText"/>
      </w:pPr>
      <w:r w:rsidRPr="008E5613">
        <w:t>Victoria’s rainfall varies greatly from year to year and decade to decade and will continue to be very variable over time. However, underlying this variability, there has been a decline in average rainfall between 1961–1990 and more recent decades, especially in the cool season. Cool season rainfall over the Mallee declined roughly 15% between 1961–1990 and 2004–2023 (Figure 4). This is despite some individual relatively wet cool seasons since 2004</w:t>
      </w:r>
      <w:r w:rsidR="00FA70C6" w:rsidRPr="00FA70C6">
        <w:t>.</w:t>
      </w:r>
    </w:p>
    <w:p w14:paraId="052D38E9" w14:textId="35D734C0" w:rsidR="00FA70C6" w:rsidRPr="00231C70" w:rsidRDefault="00FA70C6" w:rsidP="00FA70C6">
      <w:pPr>
        <w:pStyle w:val="Caption"/>
        <w:keepNext/>
        <w:spacing w:after="240"/>
        <w:rPr>
          <w:lang w:val="en-GB"/>
        </w:rPr>
      </w:pPr>
      <w:r>
        <w:t xml:space="preserve">Figure </w:t>
      </w:r>
      <w:r w:rsidR="00755984">
        <w:fldChar w:fldCharType="begin"/>
      </w:r>
      <w:r w:rsidR="00755984">
        <w:instrText xml:space="preserve"> SEQ Figure \* ARABIC </w:instrText>
      </w:r>
      <w:r w:rsidR="00755984">
        <w:fldChar w:fldCharType="separate"/>
      </w:r>
      <w:r w:rsidR="00755984">
        <w:rPr>
          <w:noProof/>
        </w:rPr>
        <w:t>4</w:t>
      </w:r>
      <w:r w:rsidR="00755984">
        <w:rPr>
          <w:noProof/>
        </w:rPr>
        <w:fldChar w:fldCharType="end"/>
      </w:r>
      <w:r>
        <w:t xml:space="preserve">: </w:t>
      </w:r>
      <w:r w:rsidR="008E5613" w:rsidRPr="008E5613">
        <w:rPr>
          <w:lang w:val="en-GB"/>
        </w:rPr>
        <w:t>Annual cool season rainfall (Apr–Oct) for Mallee</w:t>
      </w:r>
    </w:p>
    <w:p w14:paraId="638586BA" w14:textId="65331E06" w:rsidR="00FA70C6" w:rsidRPr="00FA70C6" w:rsidRDefault="00B876DB" w:rsidP="00B876DB">
      <w:pPr>
        <w:pStyle w:val="BodyText"/>
        <w:spacing w:after="120"/>
      </w:pPr>
      <w:r>
        <w:rPr>
          <w:noProof/>
        </w:rPr>
        <w:drawing>
          <wp:inline distT="0" distB="0" distL="0" distR="0" wp14:anchorId="7513CBDB" wp14:editId="707EC38B">
            <wp:extent cx="6120130" cy="2404110"/>
            <wp:effectExtent l="0" t="0" r="1270" b="0"/>
            <wp:docPr id="763535177" name="Picture 4" descr="A bar graph with lines representing observed annual cool season (April to October) rainfall for Mallee from year 1910 to 2023. The x-axis shows central year for the time periods. The y-axis shows total cool season rainfall in millimetres. Average rainfall is shown for a number of time periods represented by coloured lines: for the BOMs 1961 to 1990 baseline, the orange line represents 219 millimetres of average rainfall; for the 1986 to 2005 baseline the light red line represents 212 millimetres of average rainfall (this baseline  was used for the projections in this report); and the most recent 20 years from 2004 to 2023 represented by a dark red line which was 188 millimetres. A blue line represents the long-term trend. There are also blue bars that represent annual rainfall for each year. Data was sourced from the Australian Gridded Climate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35177" name="Picture 4" descr="A bar graph with lines representing observed annual cool season (April to October) rainfall for Mallee from year 1910 to 2023. The x-axis shows central year for the time periods. The y-axis shows total cool season rainfall in millimetres. Average rainfall is shown for a number of time periods represented by coloured lines: for the BOMs 1961 to 1990 baseline, the orange line represents 219 millimetres of average rainfall; for the 1986 to 2005 baseline the light red line represents 212 millimetres of average rainfall (this baseline  was used for the projections in this report); and the most recent 20 years from 2004 to 2023 represented by a dark red line which was 188 millimetres. A blue line represents the long-term trend. There are also blue bars that represent annual rainfall for each year. Data was sourced from the Australian Gridded Climate Dataset."/>
                    <pic:cNvPicPr/>
                  </pic:nvPicPr>
                  <pic:blipFill>
                    <a:blip r:embed="rId18"/>
                    <a:stretch>
                      <a:fillRect/>
                    </a:stretch>
                  </pic:blipFill>
                  <pic:spPr>
                    <a:xfrm>
                      <a:off x="0" y="0"/>
                      <a:ext cx="6120130" cy="2404110"/>
                    </a:xfrm>
                    <a:prstGeom prst="rect">
                      <a:avLst/>
                    </a:prstGeom>
                  </pic:spPr>
                </pic:pic>
              </a:graphicData>
            </a:graphic>
          </wp:inline>
        </w:drawing>
      </w:r>
    </w:p>
    <w:p w14:paraId="1E7D1C87" w14:textId="77777777" w:rsidR="00A75733" w:rsidRDefault="00FA70C6" w:rsidP="008E5613">
      <w:pPr>
        <w:pStyle w:val="BodyText"/>
      </w:pPr>
      <w:r w:rsidRPr="00FA70C6">
        <w:rPr>
          <w:b/>
          <w:bCs/>
        </w:rPr>
        <w:t xml:space="preserve">Figure 4. </w:t>
      </w:r>
      <w:r w:rsidR="008E5613" w:rsidRPr="008E5613">
        <w:rPr>
          <w:b/>
          <w:bCs/>
        </w:rPr>
        <w:t xml:space="preserve">The blue line shows the long-term trend. Average rainfall is also shown for a number or time periods: the BOMs 1961–1990 baseline, the 1986–2005 baseline used for the projections in this report and the most recent 20 years 2004–2023. </w:t>
      </w:r>
      <w:r w:rsidR="008E5613" w:rsidRPr="008E5613">
        <w:t>Data sourced from the Australian Gridded Climate Dataset (AGCD).</w:t>
      </w:r>
    </w:p>
    <w:p w14:paraId="537A0454" w14:textId="483C07C5" w:rsidR="008E5613" w:rsidRPr="008E5613" w:rsidRDefault="008E5613" w:rsidP="008E5613">
      <w:pPr>
        <w:pStyle w:val="BodyText"/>
      </w:pPr>
      <w:r w:rsidRPr="008E5613">
        <w:rPr>
          <w:b/>
          <w:bCs/>
        </w:rPr>
        <w:lastRenderedPageBreak/>
        <w:t>Cool season rainfall</w:t>
      </w:r>
      <w:r w:rsidRPr="008E5613">
        <w:t xml:space="preserve"> is projected to continue to decline over the Mallee (</w:t>
      </w:r>
      <w:r w:rsidRPr="008E5613">
        <w:rPr>
          <w:i/>
          <w:iCs/>
        </w:rPr>
        <w:t>medium to high confidence</w:t>
      </w:r>
      <w:r w:rsidRPr="008E5613">
        <w:t>). Most of</w:t>
      </w:r>
      <w:r w:rsidR="004135B2">
        <w:t xml:space="preserve"> </w:t>
      </w:r>
      <w:r w:rsidRPr="008E5613">
        <w:t>the new regional model simulations project a decline in rainfall in autumn, winter and spring, though, for all three seasons, there is</w:t>
      </w:r>
      <w:r w:rsidR="004135B2">
        <w:t xml:space="preserve"> </w:t>
      </w:r>
      <w:r w:rsidRPr="008E5613">
        <w:t>a range of possible changes that includes increases in rainfall. An especially wide range of possible changes is projected for Autumn (Figure 5).</w:t>
      </w:r>
    </w:p>
    <w:p w14:paraId="0EA7EB95" w14:textId="77777777" w:rsidR="00A75733" w:rsidRDefault="008E5613" w:rsidP="008E5613">
      <w:pPr>
        <w:pStyle w:val="BodyText"/>
      </w:pPr>
      <w:r w:rsidRPr="008E5613">
        <w:t xml:space="preserve">For </w:t>
      </w:r>
      <w:r w:rsidRPr="008E5613">
        <w:rPr>
          <w:b/>
          <w:bCs/>
        </w:rPr>
        <w:t>summer rainfall</w:t>
      </w:r>
      <w:r w:rsidRPr="008E5613">
        <w:t>, the projections are less clear than for the other seasons, and the new climate modelling does not narrow the outlook. The range of results is very large and includes both increases and decreases in rainfall.</w:t>
      </w:r>
    </w:p>
    <w:p w14:paraId="57FB0EBC" w14:textId="40BC30C6" w:rsidR="008E5613" w:rsidRPr="008E5613" w:rsidRDefault="008E5613" w:rsidP="008E5613">
      <w:pPr>
        <w:pStyle w:val="BodyText"/>
      </w:pPr>
      <w:r w:rsidRPr="008E5613">
        <w:t>Planning for climate change should consider the full range of projected future climate scenarios, as well as the planning context (for example vulnerability and risk profile). In considering future water availability, it is also important to factor in other influences on the hydrological cycle, for example, the evaporation which is projected to increase as temperatures warm.</w:t>
      </w:r>
    </w:p>
    <w:p w14:paraId="55712B58" w14:textId="77777777" w:rsidR="008E5613" w:rsidRPr="008E5613" w:rsidRDefault="008E5613" w:rsidP="008E5613">
      <w:pPr>
        <w:pStyle w:val="BodyText"/>
      </w:pPr>
      <w:r w:rsidRPr="008E5613">
        <w:t>Changes in rainfall as a result of long-term trends will become larger and emerge from natural variability as the century progresses, particularly under the high emissions scenario.</w:t>
      </w:r>
    </w:p>
    <w:p w14:paraId="79B9B46B" w14:textId="0554A48B" w:rsidR="00A75733" w:rsidRDefault="008E5613" w:rsidP="008E5613">
      <w:pPr>
        <w:pStyle w:val="BodyText"/>
      </w:pPr>
      <w:r w:rsidRPr="008E5613">
        <w:t xml:space="preserve">According to previous climate projections, </w:t>
      </w:r>
      <w:r w:rsidRPr="008E5613">
        <w:rPr>
          <w:b/>
          <w:bCs/>
        </w:rPr>
        <w:t>drought</w:t>
      </w:r>
      <w:r w:rsidRPr="008E5613">
        <w:t xml:space="preserve"> duration, intensity and the percentage of time spent in drought in south-east Australia are projected to increase. Consistent with this, the new NARCliM2.0 ~4</w:t>
      </w:r>
      <w:r w:rsidR="004135B2">
        <w:t xml:space="preserve"> </w:t>
      </w:r>
      <w:r w:rsidRPr="008E5613">
        <w:t>km climate modelling projects that dry months will become more frequent in Victoria. However, wet periods can still occur even during a drying trend, and some model simulations show increasing rainfall variability with larger swings between wet and dry.</w:t>
      </w:r>
    </w:p>
    <w:p w14:paraId="34256A9E" w14:textId="181145CF" w:rsidR="00E640D3" w:rsidRPr="00E640D3" w:rsidRDefault="008E5613" w:rsidP="008E5613">
      <w:pPr>
        <w:pStyle w:val="BodyText"/>
      </w:pPr>
      <w:r w:rsidRPr="008E5613">
        <w:rPr>
          <w:lang w:val="en-AU"/>
        </w:rPr>
        <w:t>Increasing temperature and evaporation are also expected to reduce water availability in the future, in</w:t>
      </w:r>
      <w:r w:rsidR="004135B2">
        <w:rPr>
          <w:lang w:val="en-AU"/>
        </w:rPr>
        <w:t xml:space="preserve"> </w:t>
      </w:r>
      <w:r w:rsidRPr="008E5613">
        <w:rPr>
          <w:lang w:val="en-AU"/>
        </w:rPr>
        <w:t>addition to reduced rainfall and increases in dry</w:t>
      </w:r>
      <w:r w:rsidR="004135B2">
        <w:rPr>
          <w:lang w:val="en-AU"/>
        </w:rPr>
        <w:t xml:space="preserve"> </w:t>
      </w:r>
      <w:r w:rsidRPr="008E5613">
        <w:rPr>
          <w:lang w:val="en-AU"/>
        </w:rPr>
        <w:t>periods</w:t>
      </w:r>
      <w:r w:rsidR="00231C70" w:rsidRPr="00231C70">
        <w:rPr>
          <w:lang w:val="en-AU"/>
        </w:rPr>
        <w:t>.</w:t>
      </w:r>
    </w:p>
    <w:p w14:paraId="62146D00" w14:textId="192074C7" w:rsidR="00E640D3" w:rsidRPr="00231C70" w:rsidRDefault="00E640D3" w:rsidP="00E640D3">
      <w:pPr>
        <w:pStyle w:val="Caption"/>
        <w:keepNext/>
        <w:rPr>
          <w:lang w:val="en-GB"/>
        </w:rPr>
      </w:pPr>
      <w:r>
        <w:lastRenderedPageBreak/>
        <w:t xml:space="preserve">Figure </w:t>
      </w:r>
      <w:r w:rsidR="00755984">
        <w:fldChar w:fldCharType="begin"/>
      </w:r>
      <w:r w:rsidR="00755984">
        <w:instrText xml:space="preserve"> SEQ Figure \* ARABIC </w:instrText>
      </w:r>
      <w:r w:rsidR="00755984">
        <w:fldChar w:fldCharType="separate"/>
      </w:r>
      <w:r w:rsidR="00755984">
        <w:rPr>
          <w:noProof/>
        </w:rPr>
        <w:t>5</w:t>
      </w:r>
      <w:r w:rsidR="00755984">
        <w:rPr>
          <w:noProof/>
        </w:rPr>
        <w:fldChar w:fldCharType="end"/>
      </w:r>
      <w:r>
        <w:t xml:space="preserve">: </w:t>
      </w:r>
      <w:r w:rsidR="008E5613" w:rsidRPr="008E5613">
        <w:rPr>
          <w:lang w:val="en-GB"/>
        </w:rPr>
        <w:t>Change in seasonal rainfall for</w:t>
      </w:r>
      <w:r w:rsidR="004135B2">
        <w:rPr>
          <w:lang w:val="en-GB"/>
        </w:rPr>
        <w:t xml:space="preserve"> </w:t>
      </w:r>
      <w:r w:rsidR="008E5613" w:rsidRPr="008E5613">
        <w:rPr>
          <w:lang w:val="en-GB"/>
        </w:rPr>
        <w:t>Mallee (2050)</w:t>
      </w:r>
    </w:p>
    <w:p w14:paraId="1E606CE0" w14:textId="1392BF62" w:rsidR="00E640D3" w:rsidRPr="00E640D3" w:rsidRDefault="00B876DB" w:rsidP="004135B2">
      <w:pPr>
        <w:pStyle w:val="BodyText"/>
        <w:spacing w:after="0"/>
      </w:pPr>
      <w:r>
        <w:rPr>
          <w:noProof/>
        </w:rPr>
        <w:drawing>
          <wp:inline distT="0" distB="0" distL="0" distR="0" wp14:anchorId="7FC4D6EF" wp14:editId="7181D3C4">
            <wp:extent cx="4680000" cy="3098483"/>
            <wp:effectExtent l="0" t="0" r="0" b="635"/>
            <wp:docPr id="1583592599" name="Picture 5" descr="A graph representing projected changes in seasonal rainfall for 2050 (2040 to 2059 period) for Mallee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92599" name="Picture 5" descr="A graph representing projected changes in seasonal rainfall for 2050 (2040 to 2059 period) for Mallee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19"/>
                    <a:stretch>
                      <a:fillRect/>
                    </a:stretch>
                  </pic:blipFill>
                  <pic:spPr>
                    <a:xfrm>
                      <a:off x="0" y="0"/>
                      <a:ext cx="4680000" cy="3098483"/>
                    </a:xfrm>
                    <a:prstGeom prst="rect">
                      <a:avLst/>
                    </a:prstGeom>
                  </pic:spPr>
                </pic:pic>
              </a:graphicData>
            </a:graphic>
          </wp:inline>
        </w:drawing>
      </w:r>
    </w:p>
    <w:p w14:paraId="35027BA5" w14:textId="09BE0B19" w:rsidR="008E5613" w:rsidRPr="008E5613" w:rsidRDefault="00E640D3" w:rsidP="008E5613">
      <w:pPr>
        <w:pStyle w:val="BodyText"/>
        <w:rPr>
          <w:b/>
          <w:bCs/>
        </w:rPr>
      </w:pPr>
      <w:r w:rsidRPr="00E640D3">
        <w:rPr>
          <w:b/>
          <w:bCs/>
        </w:rPr>
        <w:t xml:space="preserve">Figure 5. </w:t>
      </w:r>
      <w:r w:rsidR="008E5613" w:rsidRPr="008E5613">
        <w:rPr>
          <w:b/>
          <w:bCs/>
        </w:rPr>
        <w:t xml:space="preserve">Projected changes in seasonal rainfall for the Mallee region for 2050 (2040–2059) for low (blue) and high (red) emissions scenarios, relative to a 1986–2005 baseline. </w:t>
      </w:r>
      <w:r w:rsidR="008E5613" w:rsidRPr="008E5613">
        <w:t>Data sourced from Australia-wide and NARCliM2.0 ~4 km climate modelling. See guidance on interpreting this figure at the back of the</w:t>
      </w:r>
      <w:r w:rsidR="004135B2">
        <w:t xml:space="preserve"> </w:t>
      </w:r>
      <w:r w:rsidR="008E5613" w:rsidRPr="008E5613">
        <w:t>report.</w:t>
      </w:r>
    </w:p>
    <w:p w14:paraId="34F0748E" w14:textId="61E75494" w:rsidR="00E640D3" w:rsidRPr="008E5613" w:rsidRDefault="008E5613" w:rsidP="008E5613">
      <w:pPr>
        <w:pStyle w:val="BodyText"/>
      </w:pPr>
      <w:r w:rsidRPr="008E5613">
        <w:t>Chapter 4 of VCSR24 provides more information on drought hazards in Victoria</w:t>
      </w:r>
      <w:r w:rsidR="00E640D3" w:rsidRPr="00E640D3">
        <w:t>.</w:t>
      </w:r>
    </w:p>
    <w:p w14:paraId="3903CD59" w14:textId="0B548181" w:rsidR="00A75733" w:rsidRDefault="00A84D38" w:rsidP="00A84D38">
      <w:pPr>
        <w:pStyle w:val="Heading1"/>
      </w:pPr>
      <w:bookmarkStart w:id="5" w:name="_Toc189831237"/>
      <w:r w:rsidRPr="00A84D38">
        <w:t>Extreme rainfall events are expected to</w:t>
      </w:r>
      <w:r w:rsidR="004135B2">
        <w:t xml:space="preserve"> </w:t>
      </w:r>
      <w:r w:rsidRPr="00A84D38">
        <w:t>intensify</w:t>
      </w:r>
      <w:bookmarkEnd w:id="5"/>
    </w:p>
    <w:p w14:paraId="5A3D037A" w14:textId="77777777" w:rsidR="00A75733" w:rsidRDefault="007115E1" w:rsidP="007115E1">
      <w:pPr>
        <w:pStyle w:val="BodyText"/>
        <w:rPr>
          <w:b/>
          <w:bCs/>
        </w:rPr>
      </w:pPr>
      <w:r w:rsidRPr="007115E1">
        <w:rPr>
          <w:b/>
          <w:bCs/>
        </w:rPr>
        <w:t>A warming of the climate is expected to make heavy rainfall events more intense, with shorter-duration rainfall events intensifying more than longer-duration events.</w:t>
      </w:r>
    </w:p>
    <w:p w14:paraId="382D78D1" w14:textId="77777777" w:rsidR="00A75733" w:rsidRDefault="007115E1" w:rsidP="004135B2">
      <w:pPr>
        <w:pStyle w:val="BodyText"/>
        <w:ind w:right="-285"/>
      </w:pPr>
      <w:r w:rsidRPr="007115E1">
        <w:t>Work undertaken as part of an update the Australian Rainfall and Runoff (ARR) guideline (see Wasko et al., 2024) suggests that, broadly, across the whole of Australia, daily rainfall extremes may increase by approximately 8% per degree of global warming while shorter sub-daily rainfall extremes may increase by approximately 15% per degree of global warming.</w:t>
      </w:r>
    </w:p>
    <w:p w14:paraId="3A84AEAC" w14:textId="3D131CD5" w:rsidR="00A75733" w:rsidRDefault="007115E1" w:rsidP="007115E1">
      <w:pPr>
        <w:pStyle w:val="BodyText"/>
      </w:pPr>
      <w:r w:rsidRPr="007115E1">
        <w:t>The new regional climate model simulations for Victoria indicate a range of possible changes in the amount of</w:t>
      </w:r>
      <w:r w:rsidR="004135B2">
        <w:t xml:space="preserve"> </w:t>
      </w:r>
      <w:r w:rsidRPr="007115E1">
        <w:t xml:space="preserve">rain on </w:t>
      </w:r>
      <w:r w:rsidRPr="007115E1">
        <w:rPr>
          <w:b/>
          <w:bCs/>
        </w:rPr>
        <w:t>very heavy rainfall days</w:t>
      </w:r>
      <w:r w:rsidRPr="007115E1">
        <w:t xml:space="preserve">, with a tendency towards an </w:t>
      </w:r>
      <w:r w:rsidRPr="007115E1">
        <w:lastRenderedPageBreak/>
        <w:t>increase in all seasons (Figure 6).</w:t>
      </w:r>
      <w:r>
        <w:t xml:space="preserve"> (</w:t>
      </w:r>
      <w:r w:rsidRPr="007115E1">
        <w:rPr>
          <w:lang w:val="en-AU"/>
        </w:rPr>
        <w:t>‘Very heavy’ rainfall days are defined as days with rainfall amounts above the 99.9th percentile (average 3–4 times per decade) daily maximum rainfall over the 1986–2005 baseline period.</w:t>
      </w:r>
      <w:r>
        <w:t>)</w:t>
      </w:r>
      <w:r w:rsidRPr="007115E1">
        <w:t xml:space="preserve"> For 2050, the multimodel median across all of the simulations shows that ‘very heavy’ rainfall days could have 5–15% more rainfall, while the upper end of the projected likely range shows increases of up to about 30–65%, depending on the season and emissions scenario.</w:t>
      </w:r>
    </w:p>
    <w:p w14:paraId="7DEF76D3" w14:textId="4380AD49" w:rsidR="00A84D38" w:rsidRPr="00A84D38" w:rsidRDefault="007115E1" w:rsidP="007115E1">
      <w:pPr>
        <w:pStyle w:val="BodyText"/>
      </w:pPr>
      <w:r w:rsidRPr="007115E1">
        <w:rPr>
          <w:lang w:val="en-AU"/>
        </w:rPr>
        <w:t>Given the multimodel range for regional projections, the ARR guidance to scale extreme rainfall by warming per degree global warming, with a higher value for sub-daily rainfall than daily, is deemed a suitable starting point</w:t>
      </w:r>
      <w:r w:rsidR="00231C70" w:rsidRPr="00231C70">
        <w:rPr>
          <w:lang w:val="en-AU"/>
        </w:rPr>
        <w:t>.</w:t>
      </w:r>
    </w:p>
    <w:p w14:paraId="235C0AF2" w14:textId="11C29459" w:rsidR="00755984" w:rsidRPr="00601B93" w:rsidRDefault="00755984" w:rsidP="00755984">
      <w:pPr>
        <w:pStyle w:val="Caption"/>
        <w:keepNext/>
        <w:rPr>
          <w:lang w:val="en-GB"/>
        </w:rPr>
      </w:pPr>
      <w:r>
        <w:t xml:space="preserve">Figure </w:t>
      </w:r>
      <w:r>
        <w:fldChar w:fldCharType="begin"/>
      </w:r>
      <w:r>
        <w:instrText xml:space="preserve"> SEQ Figure \* ARABIC </w:instrText>
      </w:r>
      <w:r>
        <w:fldChar w:fldCharType="separate"/>
      </w:r>
      <w:r>
        <w:rPr>
          <w:noProof/>
        </w:rPr>
        <w:t>6</w:t>
      </w:r>
      <w:r>
        <w:rPr>
          <w:noProof/>
        </w:rPr>
        <w:fldChar w:fldCharType="end"/>
      </w:r>
      <w:r>
        <w:t xml:space="preserve">: </w:t>
      </w:r>
      <w:r w:rsidR="007115E1" w:rsidRPr="007115E1">
        <w:rPr>
          <w:lang w:val="en-GB"/>
        </w:rPr>
        <w:t>Change in very heavy daily rainfall for</w:t>
      </w:r>
      <w:r w:rsidR="004135B2">
        <w:rPr>
          <w:lang w:val="en-GB"/>
        </w:rPr>
        <w:t xml:space="preserve"> </w:t>
      </w:r>
      <w:r w:rsidR="007115E1" w:rsidRPr="007115E1">
        <w:rPr>
          <w:lang w:val="en-GB"/>
        </w:rPr>
        <w:t>Mallee (2050)</w:t>
      </w:r>
    </w:p>
    <w:p w14:paraId="75F29EB5" w14:textId="71E628A0" w:rsidR="00A84D38" w:rsidRPr="00A84D38" w:rsidRDefault="003739E5" w:rsidP="004135B2">
      <w:pPr>
        <w:pStyle w:val="BodyText"/>
        <w:spacing w:after="120"/>
      </w:pPr>
      <w:r>
        <w:rPr>
          <w:noProof/>
        </w:rPr>
        <w:drawing>
          <wp:inline distT="0" distB="0" distL="0" distR="0" wp14:anchorId="25B17571" wp14:editId="7A1A4122">
            <wp:extent cx="4680000" cy="3303529"/>
            <wp:effectExtent l="0" t="0" r="0" b="0"/>
            <wp:docPr id="576312389" name="Picture 6" descr="A graph representing projected changes in seasonal rainfall for 2050 (2040 to 2059 period) for Mallee region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312389" name="Picture 6" descr="A graph representing projected changes in seasonal rainfall for 2050 (2040 to 2059 period) for Mallee region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20"/>
                    <a:stretch>
                      <a:fillRect/>
                    </a:stretch>
                  </pic:blipFill>
                  <pic:spPr>
                    <a:xfrm>
                      <a:off x="0" y="0"/>
                      <a:ext cx="4680000" cy="3303529"/>
                    </a:xfrm>
                    <a:prstGeom prst="rect">
                      <a:avLst/>
                    </a:prstGeom>
                  </pic:spPr>
                </pic:pic>
              </a:graphicData>
            </a:graphic>
          </wp:inline>
        </w:drawing>
      </w:r>
    </w:p>
    <w:p w14:paraId="4C974AB9" w14:textId="5834B686" w:rsidR="00A84D38" w:rsidRPr="00601B93" w:rsidRDefault="00A84D38" w:rsidP="00A84D38">
      <w:pPr>
        <w:pStyle w:val="BodyText"/>
        <w:rPr>
          <w:b/>
          <w:bCs/>
        </w:rPr>
      </w:pPr>
      <w:r w:rsidRPr="00A84D38">
        <w:rPr>
          <w:b/>
          <w:bCs/>
        </w:rPr>
        <w:t xml:space="preserve">Figure 6. </w:t>
      </w:r>
      <w:r w:rsidR="007115E1" w:rsidRPr="007115E1">
        <w:rPr>
          <w:b/>
          <w:bCs/>
        </w:rPr>
        <w:t xml:space="preserve">Projected changes on very heavy rainfall days (99.9th percentile) for the Mallee, by season for 2050 (2040–2059) under low (blue) and high (red) emissions scenarios, relative to a 1986–2005 baseline. </w:t>
      </w:r>
      <w:r w:rsidR="007115E1" w:rsidRPr="007115E1">
        <w:t>Data sourced from Australia-wide and NARCliM2.0 ~4 km climate modelling. See guidance on interpreting this figure at the back of the</w:t>
      </w:r>
      <w:r w:rsidR="004135B2">
        <w:t xml:space="preserve"> </w:t>
      </w:r>
      <w:r w:rsidR="007115E1" w:rsidRPr="007115E1">
        <w:t>report</w:t>
      </w:r>
      <w:r w:rsidR="00601B93" w:rsidRPr="007115E1">
        <w:t>.</w:t>
      </w:r>
    </w:p>
    <w:p w14:paraId="6DC03199" w14:textId="4ECA6062" w:rsidR="00A75733" w:rsidRDefault="00D02E81" w:rsidP="004135B2">
      <w:pPr>
        <w:pStyle w:val="Heading1"/>
        <w:spacing w:after="240"/>
      </w:pPr>
      <w:bookmarkStart w:id="6" w:name="_Toc189831238"/>
      <w:r w:rsidRPr="00D02E81">
        <w:lastRenderedPageBreak/>
        <w:t>Victoria is likely to experience fewer</w:t>
      </w:r>
      <w:r w:rsidR="004135B2">
        <w:t xml:space="preserve"> </w:t>
      </w:r>
      <w:r w:rsidRPr="00D02E81">
        <w:t>frosts</w:t>
      </w:r>
      <w:bookmarkEnd w:id="6"/>
    </w:p>
    <w:p w14:paraId="66B6B999" w14:textId="4BC96074" w:rsidR="00A75733" w:rsidRPr="00013B52" w:rsidRDefault="007115E1" w:rsidP="00362CE5">
      <w:pPr>
        <w:pStyle w:val="BodyText"/>
        <w:rPr>
          <w:lang w:val="en-AU"/>
        </w:rPr>
      </w:pPr>
      <w:r w:rsidRPr="007115E1">
        <w:t xml:space="preserve">In a warming climate, frosts are expected to become less frequent over time. </w:t>
      </w:r>
      <w:r w:rsidR="00362CE5" w:rsidRPr="00362CE5">
        <w:rPr>
          <w:lang w:val="en-AU"/>
        </w:rPr>
        <w:t>However, it is possible for there</w:t>
      </w:r>
      <w:r w:rsidR="00362CE5">
        <w:rPr>
          <w:lang w:val="en-AU"/>
        </w:rPr>
        <w:t xml:space="preserve"> </w:t>
      </w:r>
      <w:r w:rsidR="00362CE5" w:rsidRPr="00362CE5">
        <w:rPr>
          <w:lang w:val="en-AU"/>
        </w:rPr>
        <w:t>to be an increased risk of damaging spring frost in</w:t>
      </w:r>
      <w:r w:rsidR="00362CE5">
        <w:rPr>
          <w:lang w:val="en-AU"/>
        </w:rPr>
        <w:t xml:space="preserve"> </w:t>
      </w:r>
      <w:r w:rsidR="00362CE5" w:rsidRPr="00362CE5">
        <w:rPr>
          <w:lang w:val="en-AU"/>
        </w:rPr>
        <w:t>some regions when cold clear nights persist longer</w:t>
      </w:r>
      <w:r w:rsidR="00362CE5">
        <w:rPr>
          <w:lang w:val="en-AU"/>
        </w:rPr>
        <w:t xml:space="preserve"> </w:t>
      </w:r>
      <w:r w:rsidR="00362CE5" w:rsidRPr="00362CE5">
        <w:rPr>
          <w:lang w:val="en-AU"/>
        </w:rPr>
        <w:t>than is suggested by the projected change in minimum</w:t>
      </w:r>
      <w:r w:rsidR="00362CE5">
        <w:rPr>
          <w:lang w:val="en-AU"/>
        </w:rPr>
        <w:t xml:space="preserve"> </w:t>
      </w:r>
      <w:r w:rsidR="00362CE5" w:rsidRPr="00362CE5">
        <w:rPr>
          <w:lang w:val="en-AU"/>
        </w:rPr>
        <w:t>temperature, and changes to seasonality and flowering</w:t>
      </w:r>
      <w:r w:rsidR="00362CE5">
        <w:rPr>
          <w:lang w:val="en-AU"/>
        </w:rPr>
        <w:t xml:space="preserve"> </w:t>
      </w:r>
      <w:r w:rsidR="00362CE5" w:rsidRPr="00362CE5">
        <w:rPr>
          <w:lang w:val="en-AU"/>
        </w:rPr>
        <w:t>mean crops are more vulnerable</w:t>
      </w:r>
      <w:r w:rsidR="00362CE5">
        <w:rPr>
          <w:lang w:val="en-AU"/>
        </w:rPr>
        <w:t xml:space="preserve"> </w:t>
      </w:r>
      <w:r w:rsidRPr="007115E1">
        <w:t>(see</w:t>
      </w:r>
      <w:r w:rsidR="004135B2">
        <w:t xml:space="preserve"> </w:t>
      </w:r>
      <w:r w:rsidRPr="007115E1">
        <w:t>chapter 4 of VCP24 TR). Over time the effect of increasing minimum temperatures is expected to gradually overpower the other effects and lead to a decrease in frost risk in almost all regions and seasons.</w:t>
      </w:r>
    </w:p>
    <w:p w14:paraId="5DD188E8" w14:textId="77777777" w:rsidR="00A75733" w:rsidRDefault="007115E1" w:rsidP="007115E1">
      <w:pPr>
        <w:pStyle w:val="BodyText"/>
      </w:pPr>
      <w:r w:rsidRPr="007115E1">
        <w:t>No new frost specific modelling has been completed as part of the new projections. However, the previous VCP19 projections indicated a decrease in the number of days with minimum temperatures below 0°C in the Mallee, although such cold temperatures are already uncommon across the region.</w:t>
      </w:r>
    </w:p>
    <w:p w14:paraId="61C8CD65" w14:textId="77777777" w:rsidR="00A75733" w:rsidRDefault="007115E1" w:rsidP="004135B2">
      <w:pPr>
        <w:pStyle w:val="Heading1"/>
        <w:spacing w:after="240"/>
      </w:pPr>
      <w:bookmarkStart w:id="7" w:name="_Toc189831239"/>
      <w:r w:rsidRPr="007115E1">
        <w:t>Victoria is likely to experience an increase in fire weather</w:t>
      </w:r>
      <w:bookmarkEnd w:id="7"/>
    </w:p>
    <w:p w14:paraId="1739971D" w14:textId="7BA6B1D1" w:rsidR="00A75733" w:rsidRDefault="007115E1" w:rsidP="004135B2">
      <w:pPr>
        <w:pStyle w:val="BodyText"/>
        <w:spacing w:after="180"/>
      </w:pPr>
      <w:r w:rsidRPr="007115E1">
        <w:t>The occurrence of major bushfires requires sufficient fuel that is dry enough to burn, weather conditions favourable to bushfire spread and an ignition source. Climate change is increasing the occurrence of fire weather and fuel dryness, but its effects on fuel load and ignition sources are more complex and less well</w:t>
      </w:r>
      <w:r w:rsidR="004135B2">
        <w:t xml:space="preserve"> </w:t>
      </w:r>
      <w:r w:rsidRPr="007115E1">
        <w:t>understood.</w:t>
      </w:r>
    </w:p>
    <w:p w14:paraId="43FEF48E" w14:textId="451918D3" w:rsidR="007115E1" w:rsidRPr="007115E1" w:rsidRDefault="007115E1" w:rsidP="004135B2">
      <w:pPr>
        <w:pStyle w:val="BodyText"/>
        <w:spacing w:after="180"/>
      </w:pPr>
      <w:r w:rsidRPr="007115E1">
        <w:t>There is growing evidence that fire weather conditions are worsening in south-east Australia. In addition, fire seasons have become longer and are starting earlier in</w:t>
      </w:r>
      <w:r w:rsidR="004135B2">
        <w:t xml:space="preserve"> </w:t>
      </w:r>
      <w:r w:rsidRPr="007115E1">
        <w:t>the year. These trends are likely to continue, in particular under projections of decreasing rainfall and increasing temperatures. The scale of future changes is dependent on future greenhouse gas emissions.</w:t>
      </w:r>
    </w:p>
    <w:p w14:paraId="26F8D2B0" w14:textId="77777777" w:rsidR="007115E1" w:rsidRPr="007115E1" w:rsidRDefault="007115E1" w:rsidP="007115E1">
      <w:pPr>
        <w:pStyle w:val="BodyText"/>
      </w:pPr>
      <w:r w:rsidRPr="007115E1">
        <w:t>Chapter 4 of VCSR24 provides more information on bushfire hazards in Victoria.</w:t>
      </w:r>
    </w:p>
    <w:p w14:paraId="614BF4AD" w14:textId="7FFA5969" w:rsidR="00A75733" w:rsidRDefault="007115E1" w:rsidP="007115E1">
      <w:pPr>
        <w:pStyle w:val="Heading1"/>
      </w:pPr>
      <w:bookmarkStart w:id="8" w:name="_Toc189831240"/>
      <w:r w:rsidRPr="007115E1">
        <w:lastRenderedPageBreak/>
        <w:t>Flooding patterns in</w:t>
      </w:r>
      <w:r w:rsidR="004135B2">
        <w:t xml:space="preserve"> </w:t>
      </w:r>
      <w:r w:rsidRPr="007115E1">
        <w:t>Victoria are likely to</w:t>
      </w:r>
      <w:r w:rsidR="004135B2">
        <w:t xml:space="preserve"> </w:t>
      </w:r>
      <w:r w:rsidRPr="007115E1">
        <w:t>change</w:t>
      </w:r>
      <w:bookmarkEnd w:id="8"/>
    </w:p>
    <w:p w14:paraId="44EB3F1A" w14:textId="1766E42B" w:rsidR="007115E1" w:rsidRPr="007115E1" w:rsidRDefault="007115E1" w:rsidP="007115E1">
      <w:pPr>
        <w:pStyle w:val="BodyText"/>
      </w:pPr>
      <w:r w:rsidRPr="007115E1">
        <w:t>Victoria has experienced a trend of small floods becoming smaller and large floods becoming larger, and these trends are projected to continue at a greater rate in the future. Flood risk in Victoria is likely to double by the end of the century if greenhouse gas emissions continue to rise at a medium to high rate. That is, a flood with a 1 in 100 chance of being exceeded now might be twice as likely by the end of this century.</w:t>
      </w:r>
    </w:p>
    <w:p w14:paraId="1D268FF5" w14:textId="266BE2E2" w:rsidR="00601B93" w:rsidRDefault="007115E1" w:rsidP="00601B93">
      <w:pPr>
        <w:pStyle w:val="BodyText"/>
        <w:sectPr w:rsidR="00601B93" w:rsidSect="00DE1F08">
          <w:footerReference w:type="default" r:id="rId21"/>
          <w:footerReference w:type="first" r:id="rId22"/>
          <w:pgSz w:w="11906" w:h="16838"/>
          <w:pgMar w:top="1134" w:right="1134" w:bottom="1134" w:left="1134" w:header="720" w:footer="170" w:gutter="0"/>
          <w:pgNumType w:start="1"/>
          <w:cols w:space="720"/>
          <w:noEndnote/>
          <w:docGrid w:linePitch="326"/>
        </w:sectPr>
      </w:pPr>
      <w:r w:rsidRPr="007115E1">
        <w:rPr>
          <w:lang w:val="en-AU"/>
        </w:rPr>
        <w:t>Chapter 4 of VCSR24 provides more information on flood hazards in Victoria</w:t>
      </w:r>
      <w:r>
        <w:t>.</w:t>
      </w:r>
    </w:p>
    <w:p w14:paraId="3DCF2EF4" w14:textId="77777777" w:rsidR="00A75733" w:rsidRDefault="00E862D0" w:rsidP="00E862D0">
      <w:pPr>
        <w:pStyle w:val="Heading1"/>
      </w:pPr>
      <w:bookmarkStart w:id="9" w:name="_Toc189831241"/>
      <w:r w:rsidRPr="00E862D0">
        <w:lastRenderedPageBreak/>
        <w:t>Table of projected changes in key climate variables</w:t>
      </w:r>
      <w:bookmarkEnd w:id="9"/>
    </w:p>
    <w:p w14:paraId="592FCD09" w14:textId="07861EFB" w:rsidR="00E862D0" w:rsidRPr="009040B4" w:rsidRDefault="00E862D0" w:rsidP="00E862D0">
      <w:pPr>
        <w:pStyle w:val="Caption"/>
        <w:keepNext/>
      </w:pPr>
      <w:r>
        <w:t xml:space="preserve">Table </w:t>
      </w:r>
      <w:r w:rsidR="009040B4">
        <w:t>2</w:t>
      </w:r>
      <w:r>
        <w:t>:</w:t>
      </w:r>
      <w:r w:rsidR="001220F2">
        <w:t xml:space="preserve"> </w:t>
      </w:r>
      <w:r w:rsidR="007115E1" w:rsidRPr="007115E1">
        <w:rPr>
          <w:bCs/>
          <w:lang w:val="en-GB"/>
        </w:rPr>
        <w:t>Projected changes in key climate variables for Mallee</w:t>
      </w:r>
    </w:p>
    <w:tbl>
      <w:tblPr>
        <w:tblStyle w:val="Style2"/>
        <w:tblW w:w="5000" w:type="pct"/>
        <w:tblLook w:val="0020" w:firstRow="1" w:lastRow="0" w:firstColumn="0" w:lastColumn="0" w:noHBand="0" w:noVBand="0"/>
        <w:tblCaption w:val="Projected changes in key climate variables for Mallee."/>
      </w:tblPr>
      <w:tblGrid>
        <w:gridCol w:w="2916"/>
        <w:gridCol w:w="1945"/>
        <w:gridCol w:w="1942"/>
        <w:gridCol w:w="1945"/>
        <w:gridCol w:w="1922"/>
        <w:gridCol w:w="1945"/>
        <w:gridCol w:w="1945"/>
      </w:tblGrid>
      <w:tr w:rsidR="00E862D0" w:rsidRPr="00E862D0" w14:paraId="3E37E945" w14:textId="77777777" w:rsidTr="00D14BE7">
        <w:trPr>
          <w:cnfStyle w:val="100000000000" w:firstRow="1" w:lastRow="0" w:firstColumn="0" w:lastColumn="0" w:oddVBand="0" w:evenVBand="0" w:oddHBand="0" w:evenHBand="0" w:firstRowFirstColumn="0" w:firstRowLastColumn="0" w:lastRowFirstColumn="0" w:lastRowLastColumn="0"/>
          <w:trHeight w:val="60"/>
          <w:tblHeader/>
        </w:trPr>
        <w:tc>
          <w:tcPr>
            <w:tcW w:w="1001" w:type="pct"/>
            <w:vMerge w:val="restart"/>
          </w:tcPr>
          <w:p w14:paraId="6FEA2D9E" w14:textId="70720129" w:rsidR="00E862D0" w:rsidRPr="009040B4" w:rsidRDefault="009040B4" w:rsidP="009040B4">
            <w:pPr>
              <w:pStyle w:val="Tabletext"/>
              <w:spacing w:line="276" w:lineRule="auto"/>
              <w:rPr>
                <w:sz w:val="22"/>
              </w:rPr>
            </w:pPr>
            <w:r w:rsidRPr="009040B4">
              <w:rPr>
                <w:sz w:val="22"/>
              </w:rPr>
              <w:t>Projected changes for</w:t>
            </w:r>
            <w:r w:rsidR="004135B2">
              <w:rPr>
                <w:sz w:val="22"/>
              </w:rPr>
              <w:t xml:space="preserve"> </w:t>
            </w:r>
            <w:r w:rsidRPr="009040B4">
              <w:rPr>
                <w:sz w:val="22"/>
              </w:rPr>
              <w:t xml:space="preserve">the </w:t>
            </w:r>
            <w:r w:rsidR="007115E1" w:rsidRPr="007115E1">
              <w:rPr>
                <w:sz w:val="22"/>
              </w:rPr>
              <w:t>Mallee region</w:t>
            </w:r>
          </w:p>
        </w:tc>
        <w:tc>
          <w:tcPr>
            <w:tcW w:w="1335" w:type="pct"/>
            <w:gridSpan w:val="2"/>
          </w:tcPr>
          <w:p w14:paraId="05E4E7CF" w14:textId="77777777" w:rsidR="00E862D0" w:rsidRPr="00E862D0" w:rsidRDefault="00E862D0" w:rsidP="00E862D0">
            <w:pPr>
              <w:pStyle w:val="Tabletext"/>
              <w:spacing w:line="276" w:lineRule="auto"/>
              <w:jc w:val="center"/>
              <w:rPr>
                <w:sz w:val="22"/>
              </w:rPr>
            </w:pPr>
            <w:r w:rsidRPr="00E862D0">
              <w:rPr>
                <w:sz w:val="22"/>
              </w:rPr>
              <w:t>2050</w:t>
            </w:r>
          </w:p>
        </w:tc>
        <w:tc>
          <w:tcPr>
            <w:tcW w:w="1328" w:type="pct"/>
            <w:gridSpan w:val="2"/>
          </w:tcPr>
          <w:p w14:paraId="399DA8C5" w14:textId="77777777" w:rsidR="00E862D0" w:rsidRPr="00E862D0" w:rsidRDefault="00E862D0" w:rsidP="00E862D0">
            <w:pPr>
              <w:pStyle w:val="Tabletext"/>
              <w:spacing w:line="276" w:lineRule="auto"/>
              <w:jc w:val="center"/>
              <w:rPr>
                <w:sz w:val="22"/>
              </w:rPr>
            </w:pPr>
            <w:r w:rsidRPr="00E862D0">
              <w:rPr>
                <w:sz w:val="22"/>
              </w:rPr>
              <w:t>2070</w:t>
            </w:r>
          </w:p>
        </w:tc>
        <w:tc>
          <w:tcPr>
            <w:tcW w:w="1336" w:type="pct"/>
            <w:gridSpan w:val="2"/>
          </w:tcPr>
          <w:p w14:paraId="70606CB9" w14:textId="77777777" w:rsidR="00E862D0" w:rsidRPr="00E862D0" w:rsidRDefault="00E862D0" w:rsidP="00E862D0">
            <w:pPr>
              <w:pStyle w:val="Tabletext"/>
              <w:spacing w:line="276" w:lineRule="auto"/>
              <w:jc w:val="center"/>
              <w:rPr>
                <w:sz w:val="22"/>
              </w:rPr>
            </w:pPr>
            <w:r w:rsidRPr="00E862D0">
              <w:rPr>
                <w:sz w:val="22"/>
              </w:rPr>
              <w:t>2090</w:t>
            </w:r>
          </w:p>
        </w:tc>
      </w:tr>
      <w:tr w:rsidR="00E862D0" w:rsidRPr="00E862D0" w14:paraId="21F63B6B" w14:textId="77777777" w:rsidTr="00D14BE7">
        <w:trPr>
          <w:cnfStyle w:val="100000000000" w:firstRow="1" w:lastRow="0" w:firstColumn="0" w:lastColumn="0" w:oddVBand="0" w:evenVBand="0" w:oddHBand="0" w:evenHBand="0" w:firstRowFirstColumn="0" w:firstRowLastColumn="0" w:lastRowFirstColumn="0" w:lastRowLastColumn="0"/>
          <w:trHeight w:val="60"/>
          <w:tblHeader/>
        </w:trPr>
        <w:tc>
          <w:tcPr>
            <w:tcW w:w="1001" w:type="pct"/>
            <w:vMerge/>
          </w:tcPr>
          <w:p w14:paraId="01FCE3D9" w14:textId="77777777" w:rsidR="00E862D0" w:rsidRPr="00E862D0" w:rsidRDefault="00E862D0" w:rsidP="00E862D0">
            <w:pPr>
              <w:pStyle w:val="Tabletext"/>
              <w:spacing w:line="276" w:lineRule="auto"/>
              <w:rPr>
                <w:sz w:val="22"/>
              </w:rPr>
            </w:pPr>
          </w:p>
        </w:tc>
        <w:tc>
          <w:tcPr>
            <w:tcW w:w="668" w:type="pct"/>
          </w:tcPr>
          <w:p w14:paraId="5DBD9EE6" w14:textId="3F5F38AF" w:rsidR="00E862D0" w:rsidRPr="00E862D0" w:rsidRDefault="00E862D0" w:rsidP="001220F2">
            <w:pPr>
              <w:pStyle w:val="Tabletext"/>
              <w:spacing w:line="276" w:lineRule="auto"/>
              <w:rPr>
                <w:sz w:val="22"/>
              </w:rPr>
            </w:pPr>
            <w:r w:rsidRPr="00E862D0">
              <w:rPr>
                <w:sz w:val="22"/>
              </w:rPr>
              <w:t>Low emissions (</w:t>
            </w:r>
            <w:r w:rsidR="0080795D">
              <w:rPr>
                <w:sz w:val="22"/>
              </w:rPr>
              <w:t>SSP</w:t>
            </w:r>
            <w:r w:rsidRPr="00E862D0">
              <w:rPr>
                <w:sz w:val="22"/>
              </w:rPr>
              <w:t>1–2.6)</w:t>
            </w:r>
          </w:p>
        </w:tc>
        <w:tc>
          <w:tcPr>
            <w:tcW w:w="667" w:type="pct"/>
          </w:tcPr>
          <w:p w14:paraId="4E85B7B2" w14:textId="430E5F93"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80795D">
              <w:rPr>
                <w:sz w:val="22"/>
              </w:rPr>
              <w:t>SSP</w:t>
            </w:r>
            <w:r w:rsidRPr="00E862D0">
              <w:rPr>
                <w:sz w:val="22"/>
              </w:rPr>
              <w:t>3–7.0)</w:t>
            </w:r>
          </w:p>
        </w:tc>
        <w:tc>
          <w:tcPr>
            <w:tcW w:w="668" w:type="pct"/>
          </w:tcPr>
          <w:p w14:paraId="7AE505D8" w14:textId="1975679E" w:rsidR="00E862D0" w:rsidRPr="00E862D0" w:rsidRDefault="00E862D0" w:rsidP="001220F2">
            <w:pPr>
              <w:pStyle w:val="Tabletext"/>
              <w:spacing w:line="276" w:lineRule="auto"/>
              <w:rPr>
                <w:sz w:val="22"/>
              </w:rPr>
            </w:pPr>
            <w:r w:rsidRPr="00E862D0">
              <w:rPr>
                <w:sz w:val="22"/>
              </w:rPr>
              <w:t>Low emissions (</w:t>
            </w:r>
            <w:r w:rsidR="0080795D">
              <w:rPr>
                <w:sz w:val="22"/>
              </w:rPr>
              <w:t>SSP</w:t>
            </w:r>
            <w:r w:rsidRPr="00E862D0">
              <w:rPr>
                <w:sz w:val="22"/>
              </w:rPr>
              <w:t>1–2.6)</w:t>
            </w:r>
          </w:p>
        </w:tc>
        <w:tc>
          <w:tcPr>
            <w:tcW w:w="660" w:type="pct"/>
          </w:tcPr>
          <w:p w14:paraId="3F1E3C09" w14:textId="4814CA60"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80795D">
              <w:rPr>
                <w:sz w:val="22"/>
              </w:rPr>
              <w:t>SSP</w:t>
            </w:r>
            <w:r w:rsidRPr="00E862D0">
              <w:rPr>
                <w:sz w:val="22"/>
              </w:rPr>
              <w:t>3–7.0)</w:t>
            </w:r>
          </w:p>
        </w:tc>
        <w:tc>
          <w:tcPr>
            <w:tcW w:w="668" w:type="pct"/>
          </w:tcPr>
          <w:p w14:paraId="05F1F5D2" w14:textId="60A4A4A2" w:rsidR="00E862D0" w:rsidRPr="00E862D0" w:rsidRDefault="00E862D0" w:rsidP="001220F2">
            <w:pPr>
              <w:pStyle w:val="Tabletext"/>
              <w:spacing w:line="276" w:lineRule="auto"/>
              <w:rPr>
                <w:sz w:val="22"/>
              </w:rPr>
            </w:pPr>
            <w:r w:rsidRPr="00E862D0">
              <w:rPr>
                <w:sz w:val="22"/>
              </w:rPr>
              <w:t>Low emissions (</w:t>
            </w:r>
            <w:r w:rsidR="0080795D">
              <w:rPr>
                <w:sz w:val="22"/>
              </w:rPr>
              <w:t>SSP</w:t>
            </w:r>
            <w:r w:rsidRPr="00E862D0">
              <w:rPr>
                <w:sz w:val="22"/>
              </w:rPr>
              <w:t>1–2.6)</w:t>
            </w:r>
          </w:p>
        </w:tc>
        <w:tc>
          <w:tcPr>
            <w:tcW w:w="668" w:type="pct"/>
          </w:tcPr>
          <w:p w14:paraId="2E7036E2" w14:textId="274CB9F0"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80795D">
              <w:rPr>
                <w:sz w:val="22"/>
              </w:rPr>
              <w:t>SSP</w:t>
            </w:r>
            <w:r w:rsidRPr="00E862D0">
              <w:rPr>
                <w:sz w:val="22"/>
              </w:rPr>
              <w:t>3–7.0)</w:t>
            </w:r>
          </w:p>
        </w:tc>
      </w:tr>
      <w:tr w:rsidR="00E862D0" w:rsidRPr="00E862D0" w14:paraId="342186CE" w14:textId="77777777" w:rsidTr="00D14BE7">
        <w:trPr>
          <w:trHeight w:val="567"/>
        </w:trPr>
        <w:tc>
          <w:tcPr>
            <w:tcW w:w="5000" w:type="pct"/>
            <w:gridSpan w:val="7"/>
            <w:shd w:val="clear" w:color="auto" w:fill="F2F2F2" w:themeFill="background1" w:themeFillShade="F2"/>
            <w:vAlign w:val="center"/>
          </w:tcPr>
          <w:p w14:paraId="7E523E00" w14:textId="77777777" w:rsidR="00E862D0" w:rsidRPr="00E862D0" w:rsidRDefault="00E862D0" w:rsidP="00D14BE7">
            <w:pPr>
              <w:pStyle w:val="Tabletext"/>
              <w:spacing w:line="276" w:lineRule="auto"/>
              <w:rPr>
                <w:b/>
                <w:bCs/>
                <w:sz w:val="22"/>
              </w:rPr>
            </w:pPr>
            <w:r w:rsidRPr="00E862D0">
              <w:rPr>
                <w:b/>
                <w:bCs/>
                <w:sz w:val="22"/>
              </w:rPr>
              <w:t>Average temperatures (°C change)</w:t>
            </w:r>
          </w:p>
        </w:tc>
      </w:tr>
      <w:tr w:rsidR="007115E1" w:rsidRPr="00E862D0" w14:paraId="0266E670" w14:textId="77777777" w:rsidTr="00D14BE7">
        <w:trPr>
          <w:trHeight w:val="60"/>
        </w:trPr>
        <w:tc>
          <w:tcPr>
            <w:tcW w:w="1001" w:type="pct"/>
          </w:tcPr>
          <w:p w14:paraId="053D499B" w14:textId="77777777" w:rsidR="007115E1" w:rsidRPr="00E862D0" w:rsidRDefault="007115E1" w:rsidP="007115E1">
            <w:pPr>
              <w:pStyle w:val="Tabletext"/>
              <w:spacing w:line="276" w:lineRule="auto"/>
              <w:rPr>
                <w:sz w:val="22"/>
              </w:rPr>
            </w:pPr>
            <w:r w:rsidRPr="00E862D0">
              <w:rPr>
                <w:sz w:val="22"/>
              </w:rPr>
              <w:t>Average temperature, annual</w:t>
            </w:r>
          </w:p>
        </w:tc>
        <w:tc>
          <w:tcPr>
            <w:tcW w:w="668" w:type="pct"/>
          </w:tcPr>
          <w:p w14:paraId="1B3D7EB3" w14:textId="2F0F4860" w:rsidR="007115E1" w:rsidRPr="00E862D0" w:rsidRDefault="007115E1" w:rsidP="007115E1">
            <w:pPr>
              <w:pStyle w:val="Tabletext"/>
              <w:spacing w:line="276" w:lineRule="auto"/>
              <w:rPr>
                <w:sz w:val="22"/>
              </w:rPr>
            </w:pPr>
            <w:r w:rsidRPr="007115E1">
              <w:rPr>
                <w:sz w:val="22"/>
              </w:rPr>
              <w:t>1.0 (0.5 to 1.4)</w:t>
            </w:r>
          </w:p>
        </w:tc>
        <w:tc>
          <w:tcPr>
            <w:tcW w:w="667" w:type="pct"/>
          </w:tcPr>
          <w:p w14:paraId="21326621" w14:textId="707BC4E7" w:rsidR="007115E1" w:rsidRPr="00E862D0" w:rsidRDefault="007115E1" w:rsidP="007115E1">
            <w:pPr>
              <w:pStyle w:val="Tabletext"/>
              <w:spacing w:line="276" w:lineRule="auto"/>
              <w:rPr>
                <w:sz w:val="22"/>
              </w:rPr>
            </w:pPr>
            <w:r w:rsidRPr="007115E1">
              <w:rPr>
                <w:sz w:val="22"/>
              </w:rPr>
              <w:t>1.5 (0.9 to 2.0) *2.5</w:t>
            </w:r>
          </w:p>
        </w:tc>
        <w:tc>
          <w:tcPr>
            <w:tcW w:w="668" w:type="pct"/>
          </w:tcPr>
          <w:p w14:paraId="2584D64F" w14:textId="77349DB7" w:rsidR="007115E1" w:rsidRPr="00E862D0" w:rsidRDefault="007115E1" w:rsidP="007115E1">
            <w:pPr>
              <w:pStyle w:val="Tabletext"/>
              <w:spacing w:line="276" w:lineRule="auto"/>
              <w:rPr>
                <w:sz w:val="22"/>
              </w:rPr>
            </w:pPr>
            <w:r w:rsidRPr="007115E1">
              <w:rPr>
                <w:sz w:val="22"/>
              </w:rPr>
              <w:t>1.1 (0.5 to 1.5)</w:t>
            </w:r>
          </w:p>
        </w:tc>
        <w:tc>
          <w:tcPr>
            <w:tcW w:w="660" w:type="pct"/>
          </w:tcPr>
          <w:p w14:paraId="741E51C3" w14:textId="0C306B16" w:rsidR="007115E1" w:rsidRPr="00E862D0" w:rsidRDefault="007115E1" w:rsidP="007115E1">
            <w:pPr>
              <w:pStyle w:val="Tabletext"/>
              <w:spacing w:line="276" w:lineRule="auto"/>
              <w:rPr>
                <w:sz w:val="22"/>
              </w:rPr>
            </w:pPr>
            <w:r w:rsidRPr="007115E1">
              <w:rPr>
                <w:sz w:val="22"/>
              </w:rPr>
              <w:t>2.3 (1.6 to 2.7) *3.6</w:t>
            </w:r>
          </w:p>
        </w:tc>
        <w:tc>
          <w:tcPr>
            <w:tcW w:w="668" w:type="pct"/>
          </w:tcPr>
          <w:p w14:paraId="4A33A777" w14:textId="75EB11D7" w:rsidR="007115E1" w:rsidRPr="00E862D0" w:rsidRDefault="007115E1" w:rsidP="007115E1">
            <w:pPr>
              <w:pStyle w:val="Tabletext"/>
              <w:spacing w:line="276" w:lineRule="auto"/>
              <w:rPr>
                <w:sz w:val="22"/>
              </w:rPr>
            </w:pPr>
            <w:r w:rsidRPr="007115E1">
              <w:rPr>
                <w:sz w:val="22"/>
              </w:rPr>
              <w:t xml:space="preserve">1.1 (0.6 to 1.5) </w:t>
            </w:r>
          </w:p>
        </w:tc>
        <w:tc>
          <w:tcPr>
            <w:tcW w:w="668" w:type="pct"/>
          </w:tcPr>
          <w:p w14:paraId="3AAC6336" w14:textId="7FD6C62C" w:rsidR="007115E1" w:rsidRPr="00E862D0" w:rsidRDefault="007115E1" w:rsidP="007115E1">
            <w:pPr>
              <w:pStyle w:val="Tabletext"/>
              <w:spacing w:line="276" w:lineRule="auto"/>
              <w:rPr>
                <w:sz w:val="22"/>
              </w:rPr>
            </w:pPr>
            <w:r w:rsidRPr="007115E1">
              <w:rPr>
                <w:sz w:val="22"/>
              </w:rPr>
              <w:t>3.3 (2.2 to 3.8) *4.9</w:t>
            </w:r>
          </w:p>
        </w:tc>
      </w:tr>
      <w:tr w:rsidR="007115E1" w:rsidRPr="00E862D0" w14:paraId="3FD9AA40" w14:textId="77777777" w:rsidTr="00D14BE7">
        <w:trPr>
          <w:trHeight w:val="60"/>
        </w:trPr>
        <w:tc>
          <w:tcPr>
            <w:tcW w:w="1001" w:type="pct"/>
          </w:tcPr>
          <w:p w14:paraId="40A305AB" w14:textId="77777777" w:rsidR="007115E1" w:rsidRPr="00E862D0" w:rsidRDefault="007115E1" w:rsidP="007115E1">
            <w:pPr>
              <w:pStyle w:val="Tabletext"/>
              <w:spacing w:line="276" w:lineRule="auto"/>
              <w:rPr>
                <w:sz w:val="22"/>
              </w:rPr>
            </w:pPr>
            <w:r w:rsidRPr="00E862D0">
              <w:rPr>
                <w:sz w:val="22"/>
              </w:rPr>
              <w:t xml:space="preserve">Average minimum temperature, annual </w:t>
            </w:r>
          </w:p>
        </w:tc>
        <w:tc>
          <w:tcPr>
            <w:tcW w:w="668" w:type="pct"/>
          </w:tcPr>
          <w:p w14:paraId="491D46B1" w14:textId="0166EA13" w:rsidR="007115E1" w:rsidRPr="00E862D0" w:rsidRDefault="007115E1" w:rsidP="007115E1">
            <w:pPr>
              <w:pStyle w:val="Tabletext"/>
              <w:spacing w:line="276" w:lineRule="auto"/>
              <w:rPr>
                <w:sz w:val="22"/>
              </w:rPr>
            </w:pPr>
            <w:r w:rsidRPr="007115E1">
              <w:rPr>
                <w:sz w:val="22"/>
              </w:rPr>
              <w:t>0.9 (0.4 to 1.3)</w:t>
            </w:r>
          </w:p>
        </w:tc>
        <w:tc>
          <w:tcPr>
            <w:tcW w:w="667" w:type="pct"/>
          </w:tcPr>
          <w:p w14:paraId="032DCF6B" w14:textId="6780C346" w:rsidR="007115E1" w:rsidRPr="00E862D0" w:rsidRDefault="007115E1" w:rsidP="007115E1">
            <w:pPr>
              <w:pStyle w:val="Tabletext"/>
              <w:spacing w:line="276" w:lineRule="auto"/>
              <w:rPr>
                <w:sz w:val="22"/>
              </w:rPr>
            </w:pPr>
            <w:r w:rsidRPr="007115E1">
              <w:rPr>
                <w:sz w:val="22"/>
              </w:rPr>
              <w:t>1.4 (0.8 to 1.7) *2.3</w:t>
            </w:r>
          </w:p>
        </w:tc>
        <w:tc>
          <w:tcPr>
            <w:tcW w:w="668" w:type="pct"/>
          </w:tcPr>
          <w:p w14:paraId="0F7AEA8E" w14:textId="3DA81AEA" w:rsidR="007115E1" w:rsidRPr="00E862D0" w:rsidRDefault="007115E1" w:rsidP="007115E1">
            <w:pPr>
              <w:pStyle w:val="Tabletext"/>
              <w:spacing w:line="276" w:lineRule="auto"/>
              <w:rPr>
                <w:sz w:val="22"/>
              </w:rPr>
            </w:pPr>
            <w:r w:rsidRPr="007115E1">
              <w:rPr>
                <w:sz w:val="22"/>
              </w:rPr>
              <w:t>1.0 (0.3 to 1.5)</w:t>
            </w:r>
          </w:p>
        </w:tc>
        <w:tc>
          <w:tcPr>
            <w:tcW w:w="660" w:type="pct"/>
          </w:tcPr>
          <w:p w14:paraId="79850348" w14:textId="03D5D31E" w:rsidR="007115E1" w:rsidRPr="00E862D0" w:rsidRDefault="007115E1" w:rsidP="007115E1">
            <w:pPr>
              <w:pStyle w:val="Tabletext"/>
              <w:spacing w:line="276" w:lineRule="auto"/>
              <w:rPr>
                <w:sz w:val="22"/>
              </w:rPr>
            </w:pPr>
            <w:r w:rsidRPr="007115E1">
              <w:rPr>
                <w:sz w:val="22"/>
              </w:rPr>
              <w:t>2.1 (1.5 to 2.6) *3.4</w:t>
            </w:r>
          </w:p>
        </w:tc>
        <w:tc>
          <w:tcPr>
            <w:tcW w:w="668" w:type="pct"/>
          </w:tcPr>
          <w:p w14:paraId="7EDBCCC0" w14:textId="4BA0BBD7" w:rsidR="007115E1" w:rsidRPr="00E862D0" w:rsidRDefault="007115E1" w:rsidP="007115E1">
            <w:pPr>
              <w:pStyle w:val="Tabletext"/>
              <w:spacing w:line="276" w:lineRule="auto"/>
              <w:rPr>
                <w:sz w:val="22"/>
              </w:rPr>
            </w:pPr>
            <w:r w:rsidRPr="007115E1">
              <w:rPr>
                <w:sz w:val="22"/>
              </w:rPr>
              <w:t>1.0 (0.4 to 1.3)</w:t>
            </w:r>
          </w:p>
        </w:tc>
        <w:tc>
          <w:tcPr>
            <w:tcW w:w="668" w:type="pct"/>
          </w:tcPr>
          <w:p w14:paraId="514ADBA8" w14:textId="390DAFF8" w:rsidR="007115E1" w:rsidRPr="00E862D0" w:rsidRDefault="007115E1" w:rsidP="007115E1">
            <w:pPr>
              <w:pStyle w:val="Tabletext"/>
              <w:spacing w:line="276" w:lineRule="auto"/>
              <w:rPr>
                <w:sz w:val="22"/>
              </w:rPr>
            </w:pPr>
            <w:r w:rsidRPr="007115E1">
              <w:rPr>
                <w:sz w:val="22"/>
              </w:rPr>
              <w:t>2.9 (2.1 to 3.9) *4.6</w:t>
            </w:r>
          </w:p>
        </w:tc>
      </w:tr>
      <w:tr w:rsidR="007115E1" w:rsidRPr="00E862D0" w14:paraId="2A9156AE" w14:textId="77777777" w:rsidTr="00D14BE7">
        <w:trPr>
          <w:trHeight w:val="60"/>
        </w:trPr>
        <w:tc>
          <w:tcPr>
            <w:tcW w:w="1001" w:type="pct"/>
          </w:tcPr>
          <w:p w14:paraId="1C653A82" w14:textId="77777777" w:rsidR="007115E1" w:rsidRPr="00E862D0" w:rsidRDefault="007115E1" w:rsidP="007115E1">
            <w:pPr>
              <w:pStyle w:val="Tabletext"/>
              <w:spacing w:line="276" w:lineRule="auto"/>
              <w:rPr>
                <w:sz w:val="22"/>
              </w:rPr>
            </w:pPr>
            <w:r w:rsidRPr="00E862D0">
              <w:rPr>
                <w:sz w:val="22"/>
              </w:rPr>
              <w:t>Average maximum temperature, annual</w:t>
            </w:r>
          </w:p>
        </w:tc>
        <w:tc>
          <w:tcPr>
            <w:tcW w:w="668" w:type="pct"/>
          </w:tcPr>
          <w:p w14:paraId="72825E39" w14:textId="5F2F66F6" w:rsidR="007115E1" w:rsidRPr="00E862D0" w:rsidRDefault="007115E1" w:rsidP="007115E1">
            <w:pPr>
              <w:pStyle w:val="Tabletext"/>
              <w:spacing w:line="276" w:lineRule="auto"/>
              <w:rPr>
                <w:sz w:val="22"/>
              </w:rPr>
            </w:pPr>
            <w:r w:rsidRPr="007115E1">
              <w:rPr>
                <w:sz w:val="22"/>
              </w:rPr>
              <w:t>1.1 (0.7 to 1.6)</w:t>
            </w:r>
          </w:p>
        </w:tc>
        <w:tc>
          <w:tcPr>
            <w:tcW w:w="667" w:type="pct"/>
          </w:tcPr>
          <w:p w14:paraId="0E65981D" w14:textId="33E43C21" w:rsidR="007115E1" w:rsidRPr="00E862D0" w:rsidRDefault="007115E1" w:rsidP="007115E1">
            <w:pPr>
              <w:pStyle w:val="Tabletext"/>
              <w:spacing w:line="276" w:lineRule="auto"/>
              <w:rPr>
                <w:sz w:val="22"/>
              </w:rPr>
            </w:pPr>
            <w:r w:rsidRPr="007115E1">
              <w:rPr>
                <w:sz w:val="22"/>
              </w:rPr>
              <w:t>1.7 (1.0 to 2.3) *2.7</w:t>
            </w:r>
          </w:p>
        </w:tc>
        <w:tc>
          <w:tcPr>
            <w:tcW w:w="668" w:type="pct"/>
          </w:tcPr>
          <w:p w14:paraId="6A89371F" w14:textId="188C22F2" w:rsidR="007115E1" w:rsidRPr="00E862D0" w:rsidRDefault="007115E1" w:rsidP="007115E1">
            <w:pPr>
              <w:pStyle w:val="Tabletext"/>
              <w:spacing w:line="276" w:lineRule="auto"/>
              <w:rPr>
                <w:sz w:val="22"/>
              </w:rPr>
            </w:pPr>
            <w:r w:rsidRPr="007115E1">
              <w:rPr>
                <w:sz w:val="22"/>
              </w:rPr>
              <w:t>1.3 (0.7 to 1.8)</w:t>
            </w:r>
          </w:p>
        </w:tc>
        <w:tc>
          <w:tcPr>
            <w:tcW w:w="660" w:type="pct"/>
          </w:tcPr>
          <w:p w14:paraId="2D148F02" w14:textId="5DF489DB" w:rsidR="007115E1" w:rsidRPr="00E862D0" w:rsidRDefault="007115E1" w:rsidP="007115E1">
            <w:pPr>
              <w:pStyle w:val="Tabletext"/>
              <w:spacing w:line="276" w:lineRule="auto"/>
              <w:rPr>
                <w:sz w:val="22"/>
              </w:rPr>
            </w:pPr>
            <w:r w:rsidRPr="007115E1">
              <w:rPr>
                <w:sz w:val="22"/>
              </w:rPr>
              <w:t>2.6 (1.6 to 2.9) *3.8</w:t>
            </w:r>
          </w:p>
        </w:tc>
        <w:tc>
          <w:tcPr>
            <w:tcW w:w="668" w:type="pct"/>
          </w:tcPr>
          <w:p w14:paraId="08BF050A" w14:textId="4830FF9B" w:rsidR="007115E1" w:rsidRPr="00E862D0" w:rsidRDefault="007115E1" w:rsidP="007115E1">
            <w:pPr>
              <w:pStyle w:val="Tabletext"/>
              <w:spacing w:line="276" w:lineRule="auto"/>
              <w:rPr>
                <w:sz w:val="22"/>
              </w:rPr>
            </w:pPr>
            <w:r w:rsidRPr="007115E1">
              <w:rPr>
                <w:sz w:val="22"/>
              </w:rPr>
              <w:t>1.3 (0.8 to 1.8)</w:t>
            </w:r>
          </w:p>
        </w:tc>
        <w:tc>
          <w:tcPr>
            <w:tcW w:w="668" w:type="pct"/>
          </w:tcPr>
          <w:p w14:paraId="233104C9" w14:textId="6C710F07" w:rsidR="007115E1" w:rsidRPr="00E862D0" w:rsidRDefault="007115E1" w:rsidP="007115E1">
            <w:pPr>
              <w:pStyle w:val="Tabletext"/>
              <w:spacing w:line="276" w:lineRule="auto"/>
              <w:rPr>
                <w:sz w:val="22"/>
              </w:rPr>
            </w:pPr>
            <w:r w:rsidRPr="007115E1">
              <w:rPr>
                <w:sz w:val="22"/>
              </w:rPr>
              <w:t>3.5 (2.5 to 4.0) *5.2</w:t>
            </w:r>
          </w:p>
        </w:tc>
      </w:tr>
      <w:tr w:rsidR="00E862D0" w:rsidRPr="00E862D0" w14:paraId="221B01F9" w14:textId="77777777" w:rsidTr="00D14BE7">
        <w:trPr>
          <w:trHeight w:val="567"/>
        </w:trPr>
        <w:tc>
          <w:tcPr>
            <w:tcW w:w="5000" w:type="pct"/>
            <w:gridSpan w:val="7"/>
            <w:shd w:val="clear" w:color="auto" w:fill="F2F2F2" w:themeFill="background1" w:themeFillShade="F2"/>
            <w:vAlign w:val="center"/>
          </w:tcPr>
          <w:p w14:paraId="24B72BE0" w14:textId="77777777" w:rsidR="00E862D0" w:rsidRPr="00E862D0" w:rsidRDefault="00E862D0" w:rsidP="00D14BE7">
            <w:pPr>
              <w:pStyle w:val="Tabletext"/>
              <w:spacing w:line="276" w:lineRule="auto"/>
              <w:rPr>
                <w:b/>
                <w:bCs/>
                <w:sz w:val="22"/>
              </w:rPr>
            </w:pPr>
            <w:r w:rsidRPr="00E862D0">
              <w:rPr>
                <w:b/>
                <w:bCs/>
                <w:sz w:val="22"/>
              </w:rPr>
              <w:t>Change (°C change) in temperature of hot days (99th percentile, occurring roughly 3–4 times per year)</w:t>
            </w:r>
          </w:p>
        </w:tc>
      </w:tr>
      <w:tr w:rsidR="007115E1" w:rsidRPr="00E862D0" w14:paraId="65FF92B5" w14:textId="77777777" w:rsidTr="00D14BE7">
        <w:trPr>
          <w:trHeight w:val="60"/>
        </w:trPr>
        <w:tc>
          <w:tcPr>
            <w:tcW w:w="1001" w:type="pct"/>
          </w:tcPr>
          <w:p w14:paraId="01277FE2" w14:textId="77777777" w:rsidR="007115E1" w:rsidRPr="00E862D0" w:rsidRDefault="007115E1" w:rsidP="007115E1">
            <w:pPr>
              <w:pStyle w:val="Tabletext"/>
              <w:spacing w:line="276" w:lineRule="auto"/>
              <w:rPr>
                <w:sz w:val="22"/>
              </w:rPr>
            </w:pPr>
            <w:r w:rsidRPr="00E862D0">
              <w:rPr>
                <w:sz w:val="22"/>
              </w:rPr>
              <w:t>99th percentile hot days, annual (°C)</w:t>
            </w:r>
          </w:p>
        </w:tc>
        <w:tc>
          <w:tcPr>
            <w:tcW w:w="668" w:type="pct"/>
          </w:tcPr>
          <w:p w14:paraId="6361AD15" w14:textId="56EECB75" w:rsidR="007115E1" w:rsidRPr="00E862D0" w:rsidRDefault="007115E1" w:rsidP="007115E1">
            <w:pPr>
              <w:pStyle w:val="Tabletext"/>
              <w:spacing w:line="276" w:lineRule="auto"/>
              <w:rPr>
                <w:sz w:val="22"/>
              </w:rPr>
            </w:pPr>
            <w:r w:rsidRPr="007115E1">
              <w:rPr>
                <w:sz w:val="22"/>
              </w:rPr>
              <w:t>1.3 (0.6 to 1.7)</w:t>
            </w:r>
          </w:p>
        </w:tc>
        <w:tc>
          <w:tcPr>
            <w:tcW w:w="667" w:type="pct"/>
          </w:tcPr>
          <w:p w14:paraId="3539F05F" w14:textId="7B92ED0D" w:rsidR="007115E1" w:rsidRPr="00E862D0" w:rsidRDefault="007115E1" w:rsidP="007115E1">
            <w:pPr>
              <w:pStyle w:val="Tabletext"/>
              <w:spacing w:line="276" w:lineRule="auto"/>
              <w:rPr>
                <w:sz w:val="22"/>
              </w:rPr>
            </w:pPr>
            <w:r w:rsidRPr="007115E1">
              <w:rPr>
                <w:sz w:val="22"/>
              </w:rPr>
              <w:t>1.8 (1.0 to 2.3)</w:t>
            </w:r>
          </w:p>
        </w:tc>
        <w:tc>
          <w:tcPr>
            <w:tcW w:w="668" w:type="pct"/>
          </w:tcPr>
          <w:p w14:paraId="0AC7477A" w14:textId="764D3DF8" w:rsidR="007115E1" w:rsidRPr="00E862D0" w:rsidRDefault="007115E1" w:rsidP="007115E1">
            <w:pPr>
              <w:pStyle w:val="Tabletext"/>
              <w:spacing w:line="276" w:lineRule="auto"/>
              <w:rPr>
                <w:sz w:val="22"/>
              </w:rPr>
            </w:pPr>
            <w:r w:rsidRPr="007115E1">
              <w:rPr>
                <w:sz w:val="22"/>
              </w:rPr>
              <w:t>1.4 (0.7 to 1.9)</w:t>
            </w:r>
          </w:p>
        </w:tc>
        <w:tc>
          <w:tcPr>
            <w:tcW w:w="660" w:type="pct"/>
          </w:tcPr>
          <w:p w14:paraId="1A0DDA6E" w14:textId="566168A4" w:rsidR="007115E1" w:rsidRPr="00E862D0" w:rsidRDefault="007115E1" w:rsidP="007115E1">
            <w:pPr>
              <w:pStyle w:val="Tabletext"/>
              <w:spacing w:line="276" w:lineRule="auto"/>
              <w:rPr>
                <w:sz w:val="22"/>
              </w:rPr>
            </w:pPr>
            <w:r w:rsidRPr="007115E1">
              <w:rPr>
                <w:sz w:val="22"/>
              </w:rPr>
              <w:t>2.7 (1.9 to 3.1)</w:t>
            </w:r>
          </w:p>
        </w:tc>
        <w:tc>
          <w:tcPr>
            <w:tcW w:w="668" w:type="pct"/>
          </w:tcPr>
          <w:p w14:paraId="20816FE6" w14:textId="5931C689" w:rsidR="007115E1" w:rsidRPr="00E862D0" w:rsidRDefault="007115E1" w:rsidP="007115E1">
            <w:pPr>
              <w:pStyle w:val="Tabletext"/>
              <w:spacing w:line="276" w:lineRule="auto"/>
              <w:rPr>
                <w:sz w:val="22"/>
              </w:rPr>
            </w:pPr>
            <w:r w:rsidRPr="007115E1">
              <w:rPr>
                <w:sz w:val="22"/>
              </w:rPr>
              <w:t>1.2 (0.7 to 1.8)</w:t>
            </w:r>
          </w:p>
        </w:tc>
        <w:tc>
          <w:tcPr>
            <w:tcW w:w="668" w:type="pct"/>
          </w:tcPr>
          <w:p w14:paraId="20AE9E67" w14:textId="6C9F1D53" w:rsidR="007115E1" w:rsidRPr="00E862D0" w:rsidRDefault="007115E1" w:rsidP="007115E1">
            <w:pPr>
              <w:pStyle w:val="Tabletext"/>
              <w:spacing w:line="276" w:lineRule="auto"/>
              <w:rPr>
                <w:sz w:val="22"/>
              </w:rPr>
            </w:pPr>
            <w:r w:rsidRPr="007115E1">
              <w:rPr>
                <w:sz w:val="22"/>
              </w:rPr>
              <w:t>3.4 (2.4 to 4.2)</w:t>
            </w:r>
          </w:p>
        </w:tc>
      </w:tr>
      <w:tr w:rsidR="00E862D0" w:rsidRPr="00E862D0" w14:paraId="1D6B495B" w14:textId="77777777" w:rsidTr="00D14BE7">
        <w:trPr>
          <w:trHeight w:val="567"/>
        </w:trPr>
        <w:tc>
          <w:tcPr>
            <w:tcW w:w="5000" w:type="pct"/>
            <w:gridSpan w:val="7"/>
            <w:shd w:val="clear" w:color="auto" w:fill="F2F2F2" w:themeFill="background1" w:themeFillShade="F2"/>
            <w:vAlign w:val="center"/>
          </w:tcPr>
          <w:p w14:paraId="18AC19ED" w14:textId="77777777" w:rsidR="00E862D0" w:rsidRPr="00E862D0" w:rsidRDefault="00E862D0" w:rsidP="00D14BE7">
            <w:pPr>
              <w:pStyle w:val="Tabletext"/>
              <w:spacing w:line="276" w:lineRule="auto"/>
              <w:rPr>
                <w:b/>
                <w:bCs/>
                <w:sz w:val="22"/>
              </w:rPr>
            </w:pPr>
            <w:r w:rsidRPr="00E862D0">
              <w:rPr>
                <w:b/>
                <w:bCs/>
                <w:sz w:val="22"/>
              </w:rPr>
              <w:t>Change (°C change) in very hot days (99.9th percentile, occurring roughly 3–4 times per decade)</w:t>
            </w:r>
          </w:p>
        </w:tc>
      </w:tr>
      <w:tr w:rsidR="007115E1" w:rsidRPr="00E862D0" w14:paraId="4BA25BA4" w14:textId="77777777" w:rsidTr="00D14BE7">
        <w:trPr>
          <w:trHeight w:val="60"/>
        </w:trPr>
        <w:tc>
          <w:tcPr>
            <w:tcW w:w="1001" w:type="pct"/>
          </w:tcPr>
          <w:p w14:paraId="37E9DAA3" w14:textId="77777777" w:rsidR="007115E1" w:rsidRPr="00E862D0" w:rsidRDefault="007115E1" w:rsidP="007115E1">
            <w:pPr>
              <w:pStyle w:val="Tabletext"/>
              <w:spacing w:line="276" w:lineRule="auto"/>
              <w:rPr>
                <w:sz w:val="22"/>
              </w:rPr>
            </w:pPr>
            <w:r w:rsidRPr="00E862D0">
              <w:rPr>
                <w:sz w:val="22"/>
              </w:rPr>
              <w:t>99.9th percentile hot days, annual (°C)</w:t>
            </w:r>
          </w:p>
        </w:tc>
        <w:tc>
          <w:tcPr>
            <w:tcW w:w="668" w:type="pct"/>
          </w:tcPr>
          <w:p w14:paraId="217569FF" w14:textId="1906429C" w:rsidR="007115E1" w:rsidRPr="00E862D0" w:rsidRDefault="007115E1" w:rsidP="007115E1">
            <w:pPr>
              <w:pStyle w:val="Tabletext"/>
              <w:spacing w:line="276" w:lineRule="auto"/>
              <w:rPr>
                <w:sz w:val="22"/>
              </w:rPr>
            </w:pPr>
            <w:r w:rsidRPr="007115E1">
              <w:rPr>
                <w:sz w:val="22"/>
              </w:rPr>
              <w:t>1.0 (0.5 to 2.1)</w:t>
            </w:r>
          </w:p>
        </w:tc>
        <w:tc>
          <w:tcPr>
            <w:tcW w:w="667" w:type="pct"/>
          </w:tcPr>
          <w:p w14:paraId="307019C1" w14:textId="55003705" w:rsidR="007115E1" w:rsidRPr="00E862D0" w:rsidRDefault="007115E1" w:rsidP="007115E1">
            <w:pPr>
              <w:pStyle w:val="Tabletext"/>
              <w:spacing w:line="276" w:lineRule="auto"/>
              <w:rPr>
                <w:sz w:val="22"/>
              </w:rPr>
            </w:pPr>
            <w:r w:rsidRPr="007115E1">
              <w:rPr>
                <w:sz w:val="22"/>
              </w:rPr>
              <w:t>1.6 (0.9 to 2.3)</w:t>
            </w:r>
          </w:p>
        </w:tc>
        <w:tc>
          <w:tcPr>
            <w:tcW w:w="668" w:type="pct"/>
          </w:tcPr>
          <w:p w14:paraId="5798CAD7" w14:textId="62452631" w:rsidR="007115E1" w:rsidRPr="00E862D0" w:rsidRDefault="007115E1" w:rsidP="007115E1">
            <w:pPr>
              <w:pStyle w:val="Tabletext"/>
              <w:spacing w:line="276" w:lineRule="auto"/>
              <w:rPr>
                <w:sz w:val="22"/>
              </w:rPr>
            </w:pPr>
            <w:r w:rsidRPr="007115E1">
              <w:rPr>
                <w:sz w:val="22"/>
              </w:rPr>
              <w:t>1.5 (0.5 to 2.5)</w:t>
            </w:r>
          </w:p>
        </w:tc>
        <w:tc>
          <w:tcPr>
            <w:tcW w:w="660" w:type="pct"/>
          </w:tcPr>
          <w:p w14:paraId="1BAA901F" w14:textId="0535ED69" w:rsidR="007115E1" w:rsidRPr="00E862D0" w:rsidRDefault="007115E1" w:rsidP="007115E1">
            <w:pPr>
              <w:pStyle w:val="Tabletext"/>
              <w:spacing w:line="276" w:lineRule="auto"/>
              <w:rPr>
                <w:sz w:val="22"/>
              </w:rPr>
            </w:pPr>
            <w:r w:rsidRPr="007115E1">
              <w:rPr>
                <w:sz w:val="22"/>
              </w:rPr>
              <w:t>2.5 (1.2 to 3.0)</w:t>
            </w:r>
          </w:p>
        </w:tc>
        <w:tc>
          <w:tcPr>
            <w:tcW w:w="668" w:type="pct"/>
          </w:tcPr>
          <w:p w14:paraId="7967ABF5" w14:textId="67E6E60F" w:rsidR="007115E1" w:rsidRPr="00E862D0" w:rsidRDefault="007115E1" w:rsidP="007115E1">
            <w:pPr>
              <w:pStyle w:val="Tabletext"/>
              <w:spacing w:line="276" w:lineRule="auto"/>
              <w:rPr>
                <w:sz w:val="22"/>
              </w:rPr>
            </w:pPr>
            <w:r w:rsidRPr="007115E1">
              <w:rPr>
                <w:sz w:val="22"/>
              </w:rPr>
              <w:t>1.2 (0.7 to 1.6)</w:t>
            </w:r>
          </w:p>
        </w:tc>
        <w:tc>
          <w:tcPr>
            <w:tcW w:w="668" w:type="pct"/>
          </w:tcPr>
          <w:p w14:paraId="193CC6C6" w14:textId="585C05BA" w:rsidR="007115E1" w:rsidRPr="00E862D0" w:rsidRDefault="007115E1" w:rsidP="007115E1">
            <w:pPr>
              <w:pStyle w:val="Tabletext"/>
              <w:spacing w:line="276" w:lineRule="auto"/>
              <w:rPr>
                <w:sz w:val="22"/>
              </w:rPr>
            </w:pPr>
            <w:r w:rsidRPr="007115E1">
              <w:rPr>
                <w:sz w:val="22"/>
              </w:rPr>
              <w:t>3.7 (2.5 to 4.0)</w:t>
            </w:r>
          </w:p>
        </w:tc>
      </w:tr>
      <w:tr w:rsidR="00E862D0" w:rsidRPr="00E862D0" w14:paraId="2C43B2C2" w14:textId="77777777" w:rsidTr="00D14BE7">
        <w:trPr>
          <w:trHeight w:val="567"/>
        </w:trPr>
        <w:tc>
          <w:tcPr>
            <w:tcW w:w="5000" w:type="pct"/>
            <w:gridSpan w:val="7"/>
            <w:shd w:val="clear" w:color="auto" w:fill="F2F2F2" w:themeFill="background1" w:themeFillShade="F2"/>
            <w:vAlign w:val="center"/>
          </w:tcPr>
          <w:p w14:paraId="2EA287E2" w14:textId="77777777" w:rsidR="00E862D0" w:rsidRPr="00E862D0" w:rsidRDefault="00E862D0" w:rsidP="00D14BE7">
            <w:pPr>
              <w:pStyle w:val="Tabletext"/>
              <w:spacing w:line="276" w:lineRule="auto"/>
              <w:rPr>
                <w:b/>
                <w:bCs/>
                <w:sz w:val="22"/>
              </w:rPr>
            </w:pPr>
            <w:r w:rsidRPr="00E862D0">
              <w:rPr>
                <w:b/>
                <w:bCs/>
                <w:sz w:val="22"/>
              </w:rPr>
              <w:lastRenderedPageBreak/>
              <w:t>Change (% change) in average seasonal rainfall</w:t>
            </w:r>
          </w:p>
        </w:tc>
      </w:tr>
      <w:tr w:rsidR="006912D3" w:rsidRPr="00E862D0" w14:paraId="578AD1A9" w14:textId="77777777" w:rsidTr="00D14BE7">
        <w:trPr>
          <w:trHeight w:val="60"/>
        </w:trPr>
        <w:tc>
          <w:tcPr>
            <w:tcW w:w="1001" w:type="pct"/>
          </w:tcPr>
          <w:p w14:paraId="3C2D8528" w14:textId="77777777" w:rsidR="006912D3" w:rsidRPr="00E862D0" w:rsidRDefault="006912D3" w:rsidP="006912D3">
            <w:pPr>
              <w:pStyle w:val="Tabletext"/>
              <w:spacing w:line="276" w:lineRule="auto"/>
              <w:rPr>
                <w:sz w:val="22"/>
              </w:rPr>
            </w:pPr>
            <w:r w:rsidRPr="00E862D0">
              <w:rPr>
                <w:sz w:val="22"/>
              </w:rPr>
              <w:t>Annual rainfall (%)</w:t>
            </w:r>
          </w:p>
        </w:tc>
        <w:tc>
          <w:tcPr>
            <w:tcW w:w="668" w:type="pct"/>
          </w:tcPr>
          <w:p w14:paraId="395A30B7" w14:textId="6845143D" w:rsidR="006912D3" w:rsidRPr="006912D3" w:rsidRDefault="006912D3" w:rsidP="006912D3">
            <w:pPr>
              <w:pStyle w:val="Tabletext"/>
              <w:spacing w:line="240" w:lineRule="auto"/>
              <w:rPr>
                <w:sz w:val="22"/>
              </w:rPr>
            </w:pPr>
            <w:r w:rsidRPr="006912D3">
              <w:rPr>
                <w:sz w:val="22"/>
              </w:rPr>
              <w:t>-8 (-19 to 13)</w:t>
            </w:r>
          </w:p>
        </w:tc>
        <w:tc>
          <w:tcPr>
            <w:tcW w:w="667" w:type="pct"/>
          </w:tcPr>
          <w:p w14:paraId="540BA682" w14:textId="01E6B2D8" w:rsidR="006912D3" w:rsidRPr="006912D3" w:rsidRDefault="006912D3" w:rsidP="006912D3">
            <w:pPr>
              <w:pStyle w:val="Tabletext"/>
              <w:spacing w:line="240" w:lineRule="auto"/>
              <w:rPr>
                <w:sz w:val="22"/>
              </w:rPr>
            </w:pPr>
            <w:r w:rsidRPr="006912D3">
              <w:rPr>
                <w:sz w:val="22"/>
              </w:rPr>
              <w:t>-4 (-22 to 14)</w:t>
            </w:r>
          </w:p>
        </w:tc>
        <w:tc>
          <w:tcPr>
            <w:tcW w:w="668" w:type="pct"/>
          </w:tcPr>
          <w:p w14:paraId="5DFFB4BF" w14:textId="4AB8AC89" w:rsidR="006912D3" w:rsidRPr="006912D3" w:rsidRDefault="006912D3" w:rsidP="006912D3">
            <w:pPr>
              <w:pStyle w:val="Tabletext"/>
              <w:spacing w:line="240" w:lineRule="auto"/>
              <w:rPr>
                <w:sz w:val="22"/>
              </w:rPr>
            </w:pPr>
            <w:r w:rsidRPr="006912D3">
              <w:rPr>
                <w:sz w:val="22"/>
              </w:rPr>
              <w:t>-5 (-23 to 16)</w:t>
            </w:r>
          </w:p>
        </w:tc>
        <w:tc>
          <w:tcPr>
            <w:tcW w:w="660" w:type="pct"/>
          </w:tcPr>
          <w:p w14:paraId="35C5F654" w14:textId="3E635954" w:rsidR="006912D3" w:rsidRPr="006912D3" w:rsidRDefault="006912D3" w:rsidP="006912D3">
            <w:pPr>
              <w:pStyle w:val="Tabletext"/>
              <w:spacing w:line="240" w:lineRule="auto"/>
              <w:rPr>
                <w:sz w:val="22"/>
              </w:rPr>
            </w:pPr>
            <w:r w:rsidRPr="006912D3">
              <w:rPr>
                <w:sz w:val="22"/>
              </w:rPr>
              <w:t>-5 (-20 to 20)</w:t>
            </w:r>
          </w:p>
        </w:tc>
        <w:tc>
          <w:tcPr>
            <w:tcW w:w="668" w:type="pct"/>
          </w:tcPr>
          <w:p w14:paraId="0687C06C" w14:textId="72F38527" w:rsidR="006912D3" w:rsidRPr="006912D3" w:rsidRDefault="006912D3" w:rsidP="006912D3">
            <w:pPr>
              <w:pStyle w:val="Tabletext"/>
              <w:spacing w:line="240" w:lineRule="auto"/>
              <w:rPr>
                <w:sz w:val="22"/>
              </w:rPr>
            </w:pPr>
            <w:r w:rsidRPr="006912D3">
              <w:rPr>
                <w:sz w:val="22"/>
              </w:rPr>
              <w:t>-5 (-23 to 12)</w:t>
            </w:r>
          </w:p>
        </w:tc>
        <w:tc>
          <w:tcPr>
            <w:tcW w:w="668" w:type="pct"/>
          </w:tcPr>
          <w:p w14:paraId="20EDA2CA" w14:textId="02EF0D1C" w:rsidR="006912D3" w:rsidRPr="006912D3" w:rsidRDefault="006912D3" w:rsidP="006912D3">
            <w:pPr>
              <w:pStyle w:val="Tabletext"/>
              <w:spacing w:line="240" w:lineRule="auto"/>
              <w:rPr>
                <w:sz w:val="22"/>
              </w:rPr>
            </w:pPr>
            <w:r w:rsidRPr="006912D3">
              <w:rPr>
                <w:sz w:val="22"/>
              </w:rPr>
              <w:t>-8 (-26 to 25)</w:t>
            </w:r>
          </w:p>
        </w:tc>
      </w:tr>
      <w:tr w:rsidR="006912D3" w:rsidRPr="00E862D0" w14:paraId="0AF0BB06" w14:textId="77777777" w:rsidTr="00D14BE7">
        <w:trPr>
          <w:trHeight w:val="60"/>
        </w:trPr>
        <w:tc>
          <w:tcPr>
            <w:tcW w:w="1001" w:type="pct"/>
          </w:tcPr>
          <w:p w14:paraId="039A15AB" w14:textId="77777777" w:rsidR="006912D3" w:rsidRPr="00E862D0" w:rsidRDefault="006912D3" w:rsidP="006912D3">
            <w:pPr>
              <w:pStyle w:val="Tabletext"/>
              <w:spacing w:line="276" w:lineRule="auto"/>
              <w:rPr>
                <w:sz w:val="22"/>
              </w:rPr>
            </w:pPr>
            <w:r w:rsidRPr="00E862D0">
              <w:rPr>
                <w:sz w:val="22"/>
              </w:rPr>
              <w:t>Summer rainfall (%)</w:t>
            </w:r>
          </w:p>
        </w:tc>
        <w:tc>
          <w:tcPr>
            <w:tcW w:w="668" w:type="pct"/>
          </w:tcPr>
          <w:p w14:paraId="493DE95B" w14:textId="6F3812FB" w:rsidR="006912D3" w:rsidRPr="006912D3" w:rsidRDefault="006912D3" w:rsidP="006912D3">
            <w:pPr>
              <w:pStyle w:val="Tabletext"/>
              <w:spacing w:line="240" w:lineRule="auto"/>
              <w:rPr>
                <w:sz w:val="22"/>
              </w:rPr>
            </w:pPr>
            <w:r w:rsidRPr="006912D3">
              <w:rPr>
                <w:sz w:val="22"/>
              </w:rPr>
              <w:t>1 (-39 to 31)</w:t>
            </w:r>
          </w:p>
        </w:tc>
        <w:tc>
          <w:tcPr>
            <w:tcW w:w="667" w:type="pct"/>
          </w:tcPr>
          <w:p w14:paraId="672E36A7" w14:textId="25705A79" w:rsidR="006912D3" w:rsidRPr="006912D3" w:rsidRDefault="006912D3" w:rsidP="006912D3">
            <w:pPr>
              <w:pStyle w:val="Tabletext"/>
              <w:spacing w:line="240" w:lineRule="auto"/>
              <w:rPr>
                <w:sz w:val="22"/>
              </w:rPr>
            </w:pPr>
            <w:r w:rsidRPr="006912D3">
              <w:rPr>
                <w:sz w:val="22"/>
              </w:rPr>
              <w:t>1 (-33 to 26)</w:t>
            </w:r>
          </w:p>
        </w:tc>
        <w:tc>
          <w:tcPr>
            <w:tcW w:w="668" w:type="pct"/>
          </w:tcPr>
          <w:p w14:paraId="72F38267" w14:textId="0A20F643" w:rsidR="006912D3" w:rsidRPr="006912D3" w:rsidRDefault="006912D3" w:rsidP="006912D3">
            <w:pPr>
              <w:pStyle w:val="Tabletext"/>
              <w:spacing w:line="240" w:lineRule="auto"/>
              <w:rPr>
                <w:sz w:val="22"/>
              </w:rPr>
            </w:pPr>
            <w:r w:rsidRPr="006912D3">
              <w:rPr>
                <w:sz w:val="22"/>
              </w:rPr>
              <w:t>-8 (-38 to 20)</w:t>
            </w:r>
          </w:p>
        </w:tc>
        <w:tc>
          <w:tcPr>
            <w:tcW w:w="660" w:type="pct"/>
          </w:tcPr>
          <w:p w14:paraId="02DE8C2D" w14:textId="26D948A4" w:rsidR="006912D3" w:rsidRPr="006912D3" w:rsidRDefault="006912D3" w:rsidP="006912D3">
            <w:pPr>
              <w:pStyle w:val="Tabletext"/>
              <w:spacing w:line="240" w:lineRule="auto"/>
              <w:rPr>
                <w:sz w:val="22"/>
              </w:rPr>
            </w:pPr>
            <w:r w:rsidRPr="006912D3">
              <w:rPr>
                <w:sz w:val="22"/>
              </w:rPr>
              <w:t>9 (-30 to 43)</w:t>
            </w:r>
          </w:p>
        </w:tc>
        <w:tc>
          <w:tcPr>
            <w:tcW w:w="668" w:type="pct"/>
          </w:tcPr>
          <w:p w14:paraId="2EB45D43" w14:textId="27042E4C" w:rsidR="006912D3" w:rsidRPr="006912D3" w:rsidRDefault="006912D3" w:rsidP="006912D3">
            <w:pPr>
              <w:pStyle w:val="Tabletext"/>
              <w:spacing w:line="240" w:lineRule="auto"/>
              <w:rPr>
                <w:sz w:val="22"/>
              </w:rPr>
            </w:pPr>
            <w:r w:rsidRPr="006912D3">
              <w:rPr>
                <w:sz w:val="22"/>
              </w:rPr>
              <w:t>-7 (-32 to 33)</w:t>
            </w:r>
          </w:p>
        </w:tc>
        <w:tc>
          <w:tcPr>
            <w:tcW w:w="668" w:type="pct"/>
          </w:tcPr>
          <w:p w14:paraId="586A8EAF" w14:textId="13BA312A" w:rsidR="006912D3" w:rsidRPr="006912D3" w:rsidRDefault="006912D3" w:rsidP="006912D3">
            <w:pPr>
              <w:pStyle w:val="Tabletext"/>
              <w:spacing w:line="240" w:lineRule="auto"/>
              <w:rPr>
                <w:sz w:val="22"/>
              </w:rPr>
            </w:pPr>
            <w:r w:rsidRPr="006912D3">
              <w:rPr>
                <w:sz w:val="22"/>
              </w:rPr>
              <w:t>4 (-38 to 53)</w:t>
            </w:r>
          </w:p>
        </w:tc>
      </w:tr>
      <w:tr w:rsidR="006912D3" w:rsidRPr="00E862D0" w14:paraId="7777B293" w14:textId="77777777" w:rsidTr="00D14BE7">
        <w:trPr>
          <w:trHeight w:val="60"/>
        </w:trPr>
        <w:tc>
          <w:tcPr>
            <w:tcW w:w="1001" w:type="pct"/>
          </w:tcPr>
          <w:p w14:paraId="50439ACA" w14:textId="77777777" w:rsidR="006912D3" w:rsidRPr="00E862D0" w:rsidRDefault="006912D3" w:rsidP="006912D3">
            <w:pPr>
              <w:pStyle w:val="Tabletext"/>
              <w:spacing w:line="276" w:lineRule="auto"/>
              <w:rPr>
                <w:sz w:val="22"/>
              </w:rPr>
            </w:pPr>
            <w:r w:rsidRPr="00E862D0">
              <w:rPr>
                <w:sz w:val="22"/>
              </w:rPr>
              <w:t>Autumn rainfall (%)</w:t>
            </w:r>
          </w:p>
        </w:tc>
        <w:tc>
          <w:tcPr>
            <w:tcW w:w="668" w:type="pct"/>
          </w:tcPr>
          <w:p w14:paraId="4C960768" w14:textId="442F47D5" w:rsidR="006912D3" w:rsidRPr="006912D3" w:rsidRDefault="006912D3" w:rsidP="006912D3">
            <w:pPr>
              <w:pStyle w:val="Tabletext"/>
              <w:spacing w:line="240" w:lineRule="auto"/>
              <w:rPr>
                <w:sz w:val="22"/>
              </w:rPr>
            </w:pPr>
            <w:r w:rsidRPr="006912D3">
              <w:rPr>
                <w:sz w:val="22"/>
              </w:rPr>
              <w:t>-4 (-25 to 22)</w:t>
            </w:r>
          </w:p>
        </w:tc>
        <w:tc>
          <w:tcPr>
            <w:tcW w:w="667" w:type="pct"/>
          </w:tcPr>
          <w:p w14:paraId="32A6FA52" w14:textId="0931C53E" w:rsidR="006912D3" w:rsidRPr="006912D3" w:rsidRDefault="006912D3" w:rsidP="006912D3">
            <w:pPr>
              <w:pStyle w:val="Tabletext"/>
              <w:spacing w:line="240" w:lineRule="auto"/>
              <w:rPr>
                <w:sz w:val="22"/>
              </w:rPr>
            </w:pPr>
            <w:r w:rsidRPr="006912D3">
              <w:rPr>
                <w:sz w:val="22"/>
              </w:rPr>
              <w:t>-3 (-25 to 29)</w:t>
            </w:r>
          </w:p>
        </w:tc>
        <w:tc>
          <w:tcPr>
            <w:tcW w:w="668" w:type="pct"/>
          </w:tcPr>
          <w:p w14:paraId="4ADDF7F3" w14:textId="293CADEA" w:rsidR="006912D3" w:rsidRPr="006912D3" w:rsidRDefault="006912D3" w:rsidP="006912D3">
            <w:pPr>
              <w:pStyle w:val="Tabletext"/>
              <w:spacing w:line="240" w:lineRule="auto"/>
              <w:rPr>
                <w:sz w:val="22"/>
              </w:rPr>
            </w:pPr>
            <w:r w:rsidRPr="006912D3">
              <w:rPr>
                <w:sz w:val="22"/>
              </w:rPr>
              <w:t>10 (-22 to 35)</w:t>
            </w:r>
          </w:p>
        </w:tc>
        <w:tc>
          <w:tcPr>
            <w:tcW w:w="660" w:type="pct"/>
          </w:tcPr>
          <w:p w14:paraId="407E0F27" w14:textId="52672A49" w:rsidR="006912D3" w:rsidRPr="006912D3" w:rsidRDefault="006912D3" w:rsidP="006912D3">
            <w:pPr>
              <w:pStyle w:val="Tabletext"/>
              <w:spacing w:line="240" w:lineRule="auto"/>
              <w:rPr>
                <w:sz w:val="22"/>
              </w:rPr>
            </w:pPr>
            <w:r w:rsidRPr="006912D3">
              <w:rPr>
                <w:sz w:val="22"/>
              </w:rPr>
              <w:t>3 (-36 to 30)</w:t>
            </w:r>
          </w:p>
        </w:tc>
        <w:tc>
          <w:tcPr>
            <w:tcW w:w="668" w:type="pct"/>
          </w:tcPr>
          <w:p w14:paraId="3F1817E5" w14:textId="307A578A" w:rsidR="006912D3" w:rsidRPr="006912D3" w:rsidRDefault="006912D3" w:rsidP="006912D3">
            <w:pPr>
              <w:pStyle w:val="Tabletext"/>
              <w:spacing w:line="240" w:lineRule="auto"/>
              <w:rPr>
                <w:sz w:val="22"/>
              </w:rPr>
            </w:pPr>
            <w:r w:rsidRPr="006912D3">
              <w:rPr>
                <w:sz w:val="22"/>
              </w:rPr>
              <w:t>2 (-24 to 24)</w:t>
            </w:r>
          </w:p>
        </w:tc>
        <w:tc>
          <w:tcPr>
            <w:tcW w:w="668" w:type="pct"/>
          </w:tcPr>
          <w:p w14:paraId="1A598608" w14:textId="3A6BCADF" w:rsidR="006912D3" w:rsidRPr="006912D3" w:rsidRDefault="006912D3" w:rsidP="006912D3">
            <w:pPr>
              <w:pStyle w:val="Tabletext"/>
              <w:spacing w:line="240" w:lineRule="auto"/>
              <w:rPr>
                <w:sz w:val="22"/>
              </w:rPr>
            </w:pPr>
            <w:r w:rsidRPr="006912D3">
              <w:rPr>
                <w:sz w:val="22"/>
              </w:rPr>
              <w:t>-5 (-35 to 39)</w:t>
            </w:r>
          </w:p>
        </w:tc>
      </w:tr>
      <w:tr w:rsidR="006912D3" w:rsidRPr="00E862D0" w14:paraId="3ED65247" w14:textId="77777777" w:rsidTr="00D14BE7">
        <w:trPr>
          <w:trHeight w:val="60"/>
        </w:trPr>
        <w:tc>
          <w:tcPr>
            <w:tcW w:w="1001" w:type="pct"/>
          </w:tcPr>
          <w:p w14:paraId="460AB128" w14:textId="77777777" w:rsidR="006912D3" w:rsidRPr="00E862D0" w:rsidRDefault="006912D3" w:rsidP="006912D3">
            <w:pPr>
              <w:pStyle w:val="Tabletext"/>
              <w:spacing w:line="276" w:lineRule="auto"/>
              <w:rPr>
                <w:sz w:val="22"/>
              </w:rPr>
            </w:pPr>
            <w:r w:rsidRPr="00E862D0">
              <w:rPr>
                <w:sz w:val="22"/>
              </w:rPr>
              <w:t>Winter rainfall (%)</w:t>
            </w:r>
          </w:p>
        </w:tc>
        <w:tc>
          <w:tcPr>
            <w:tcW w:w="668" w:type="pct"/>
          </w:tcPr>
          <w:p w14:paraId="233B19D5" w14:textId="0330BB5A" w:rsidR="006912D3" w:rsidRPr="006912D3" w:rsidRDefault="006912D3" w:rsidP="006912D3">
            <w:pPr>
              <w:pStyle w:val="Tabletext"/>
              <w:spacing w:line="240" w:lineRule="auto"/>
              <w:rPr>
                <w:sz w:val="22"/>
              </w:rPr>
            </w:pPr>
            <w:r w:rsidRPr="006912D3">
              <w:rPr>
                <w:sz w:val="22"/>
              </w:rPr>
              <w:t>-8 (-25 to 21)</w:t>
            </w:r>
          </w:p>
        </w:tc>
        <w:tc>
          <w:tcPr>
            <w:tcW w:w="667" w:type="pct"/>
          </w:tcPr>
          <w:p w14:paraId="2D5AD31A" w14:textId="57986631" w:rsidR="006912D3" w:rsidRPr="006912D3" w:rsidRDefault="006912D3" w:rsidP="006912D3">
            <w:pPr>
              <w:pStyle w:val="Tabletext"/>
              <w:spacing w:line="240" w:lineRule="auto"/>
              <w:rPr>
                <w:sz w:val="22"/>
              </w:rPr>
            </w:pPr>
            <w:r w:rsidRPr="006912D3">
              <w:rPr>
                <w:sz w:val="22"/>
              </w:rPr>
              <w:t>-8 (-23 to 16)</w:t>
            </w:r>
          </w:p>
        </w:tc>
        <w:tc>
          <w:tcPr>
            <w:tcW w:w="668" w:type="pct"/>
          </w:tcPr>
          <w:p w14:paraId="1061544E" w14:textId="55F37A06" w:rsidR="006912D3" w:rsidRPr="006912D3" w:rsidRDefault="006912D3" w:rsidP="006912D3">
            <w:pPr>
              <w:pStyle w:val="Tabletext"/>
              <w:spacing w:line="240" w:lineRule="auto"/>
              <w:rPr>
                <w:sz w:val="22"/>
              </w:rPr>
            </w:pPr>
            <w:r w:rsidRPr="006912D3">
              <w:rPr>
                <w:sz w:val="22"/>
              </w:rPr>
              <w:t>-8 (-21 to 12)</w:t>
            </w:r>
          </w:p>
        </w:tc>
        <w:tc>
          <w:tcPr>
            <w:tcW w:w="660" w:type="pct"/>
          </w:tcPr>
          <w:p w14:paraId="00EBEF3C" w14:textId="3DC6101C" w:rsidR="006912D3" w:rsidRPr="006912D3" w:rsidRDefault="006912D3" w:rsidP="006912D3">
            <w:pPr>
              <w:pStyle w:val="Tabletext"/>
              <w:spacing w:line="240" w:lineRule="auto"/>
              <w:rPr>
                <w:sz w:val="22"/>
              </w:rPr>
            </w:pPr>
            <w:r w:rsidRPr="006912D3">
              <w:rPr>
                <w:sz w:val="22"/>
              </w:rPr>
              <w:t>-8 (-34 to 31)</w:t>
            </w:r>
          </w:p>
        </w:tc>
        <w:tc>
          <w:tcPr>
            <w:tcW w:w="668" w:type="pct"/>
          </w:tcPr>
          <w:p w14:paraId="76457B6E" w14:textId="1FAD0F8B" w:rsidR="006912D3" w:rsidRPr="006912D3" w:rsidRDefault="006912D3" w:rsidP="006912D3">
            <w:pPr>
              <w:pStyle w:val="Tabletext"/>
              <w:spacing w:line="240" w:lineRule="auto"/>
              <w:rPr>
                <w:sz w:val="22"/>
              </w:rPr>
            </w:pPr>
            <w:r w:rsidRPr="006912D3">
              <w:rPr>
                <w:sz w:val="22"/>
              </w:rPr>
              <w:t>-6 (-23 to 23)</w:t>
            </w:r>
          </w:p>
        </w:tc>
        <w:tc>
          <w:tcPr>
            <w:tcW w:w="668" w:type="pct"/>
          </w:tcPr>
          <w:p w14:paraId="629D125D" w14:textId="478E4F66" w:rsidR="006912D3" w:rsidRPr="006912D3" w:rsidRDefault="006912D3" w:rsidP="006912D3">
            <w:pPr>
              <w:pStyle w:val="Tabletext"/>
              <w:spacing w:line="240" w:lineRule="auto"/>
              <w:rPr>
                <w:sz w:val="22"/>
              </w:rPr>
            </w:pPr>
            <w:r w:rsidRPr="006912D3">
              <w:rPr>
                <w:sz w:val="22"/>
              </w:rPr>
              <w:t>-12 (-33 to 19)</w:t>
            </w:r>
          </w:p>
        </w:tc>
      </w:tr>
      <w:tr w:rsidR="006912D3" w:rsidRPr="00E862D0" w14:paraId="057C33B1" w14:textId="77777777" w:rsidTr="00D14BE7">
        <w:trPr>
          <w:trHeight w:val="60"/>
        </w:trPr>
        <w:tc>
          <w:tcPr>
            <w:tcW w:w="1001" w:type="pct"/>
          </w:tcPr>
          <w:p w14:paraId="3F1F3520" w14:textId="77777777" w:rsidR="006912D3" w:rsidRPr="00E862D0" w:rsidRDefault="006912D3" w:rsidP="006912D3">
            <w:pPr>
              <w:pStyle w:val="Tabletext"/>
              <w:spacing w:line="276" w:lineRule="auto"/>
              <w:rPr>
                <w:sz w:val="22"/>
              </w:rPr>
            </w:pPr>
            <w:r w:rsidRPr="00E862D0">
              <w:rPr>
                <w:sz w:val="22"/>
              </w:rPr>
              <w:t>Spring rainfall (%)</w:t>
            </w:r>
          </w:p>
        </w:tc>
        <w:tc>
          <w:tcPr>
            <w:tcW w:w="668" w:type="pct"/>
          </w:tcPr>
          <w:p w14:paraId="2B45E378" w14:textId="5445A40C" w:rsidR="006912D3" w:rsidRPr="006912D3" w:rsidRDefault="006912D3" w:rsidP="006912D3">
            <w:pPr>
              <w:pStyle w:val="Tabletext"/>
              <w:spacing w:line="240" w:lineRule="auto"/>
              <w:rPr>
                <w:sz w:val="22"/>
              </w:rPr>
            </w:pPr>
            <w:r w:rsidRPr="006912D3">
              <w:rPr>
                <w:sz w:val="22"/>
              </w:rPr>
              <w:t>-7 (-20 to 12)</w:t>
            </w:r>
          </w:p>
        </w:tc>
        <w:tc>
          <w:tcPr>
            <w:tcW w:w="667" w:type="pct"/>
          </w:tcPr>
          <w:p w14:paraId="33343A14" w14:textId="100862F5" w:rsidR="006912D3" w:rsidRPr="006912D3" w:rsidRDefault="006912D3" w:rsidP="006912D3">
            <w:pPr>
              <w:pStyle w:val="Tabletext"/>
              <w:spacing w:line="240" w:lineRule="auto"/>
              <w:rPr>
                <w:sz w:val="22"/>
              </w:rPr>
            </w:pPr>
            <w:r w:rsidRPr="006912D3">
              <w:rPr>
                <w:sz w:val="22"/>
              </w:rPr>
              <w:t>-6 (-21 to 11)</w:t>
            </w:r>
          </w:p>
        </w:tc>
        <w:tc>
          <w:tcPr>
            <w:tcW w:w="668" w:type="pct"/>
          </w:tcPr>
          <w:p w14:paraId="75A4CFAE" w14:textId="370870FE" w:rsidR="006912D3" w:rsidRPr="006912D3" w:rsidRDefault="006912D3" w:rsidP="006912D3">
            <w:pPr>
              <w:pStyle w:val="Tabletext"/>
              <w:spacing w:line="240" w:lineRule="auto"/>
              <w:rPr>
                <w:sz w:val="22"/>
              </w:rPr>
            </w:pPr>
            <w:r w:rsidRPr="006912D3">
              <w:rPr>
                <w:sz w:val="22"/>
              </w:rPr>
              <w:t>-7 (-22 to 24)</w:t>
            </w:r>
          </w:p>
        </w:tc>
        <w:tc>
          <w:tcPr>
            <w:tcW w:w="660" w:type="pct"/>
          </w:tcPr>
          <w:p w14:paraId="4EC02BD0" w14:textId="0CBB8F47" w:rsidR="006912D3" w:rsidRPr="006912D3" w:rsidRDefault="006912D3" w:rsidP="006912D3">
            <w:pPr>
              <w:pStyle w:val="Tabletext"/>
              <w:spacing w:line="240" w:lineRule="auto"/>
              <w:rPr>
                <w:sz w:val="22"/>
              </w:rPr>
            </w:pPr>
            <w:r w:rsidRPr="006912D3">
              <w:rPr>
                <w:sz w:val="22"/>
              </w:rPr>
              <w:t>-6 (-36 to 23)</w:t>
            </w:r>
          </w:p>
        </w:tc>
        <w:tc>
          <w:tcPr>
            <w:tcW w:w="668" w:type="pct"/>
          </w:tcPr>
          <w:p w14:paraId="3D5DB017" w14:textId="13BC3A72" w:rsidR="006912D3" w:rsidRPr="006912D3" w:rsidRDefault="006912D3" w:rsidP="006912D3">
            <w:pPr>
              <w:pStyle w:val="Tabletext"/>
              <w:spacing w:line="240" w:lineRule="auto"/>
              <w:rPr>
                <w:sz w:val="22"/>
              </w:rPr>
            </w:pPr>
            <w:r w:rsidRPr="006912D3">
              <w:rPr>
                <w:sz w:val="22"/>
              </w:rPr>
              <w:t>-15 (-30 to 45)</w:t>
            </w:r>
          </w:p>
        </w:tc>
        <w:tc>
          <w:tcPr>
            <w:tcW w:w="668" w:type="pct"/>
          </w:tcPr>
          <w:p w14:paraId="4E3940EA" w14:textId="1EE71080" w:rsidR="006912D3" w:rsidRPr="006912D3" w:rsidRDefault="006912D3" w:rsidP="006912D3">
            <w:pPr>
              <w:pStyle w:val="Tabletext"/>
              <w:spacing w:line="240" w:lineRule="auto"/>
              <w:rPr>
                <w:sz w:val="22"/>
              </w:rPr>
            </w:pPr>
            <w:r w:rsidRPr="006912D3">
              <w:rPr>
                <w:sz w:val="22"/>
              </w:rPr>
              <w:t>-12 (-39 to 34)</w:t>
            </w:r>
          </w:p>
        </w:tc>
      </w:tr>
    </w:tbl>
    <w:p w14:paraId="02128795" w14:textId="6DEFCAAD" w:rsidR="00E862D0" w:rsidRPr="0080795D" w:rsidRDefault="0080795D" w:rsidP="00013B52">
      <w:pPr>
        <w:pStyle w:val="Caption"/>
        <w:keepNext/>
        <w:rPr>
          <w:b w:val="0"/>
          <w:iCs w:val="0"/>
        </w:rPr>
        <w:sectPr w:rsidR="00E862D0" w:rsidRPr="0080795D" w:rsidSect="00A471F2">
          <w:footerReference w:type="first" r:id="rId23"/>
          <w:pgSz w:w="16838" w:h="11906" w:orient="landscape"/>
          <w:pgMar w:top="1134" w:right="1134" w:bottom="1134" w:left="1134" w:header="720" w:footer="227" w:gutter="0"/>
          <w:cols w:space="720"/>
          <w:noEndnote/>
          <w:docGrid w:linePitch="326"/>
        </w:sectPr>
      </w:pPr>
      <w:r>
        <w:t xml:space="preserve">Table 2: </w:t>
      </w:r>
      <w:r w:rsidRPr="007115E1">
        <w:rPr>
          <w:bCs/>
          <w:lang w:val="en-GB"/>
        </w:rPr>
        <w:t>Projected changes in key climate variables for Malle</w:t>
      </w:r>
      <w:r>
        <w:rPr>
          <w:bCs/>
          <w:lang w:val="en-GB"/>
        </w:rPr>
        <w:t xml:space="preserve">e. </w:t>
      </w:r>
      <w:r w:rsidR="007115E1" w:rsidRPr="00013B52">
        <w:rPr>
          <w:b w:val="0"/>
          <w:bCs/>
        </w:rPr>
        <w:t>Values come from the combined set of Australia-wide and NARCliM2.0 ~4 km regional climate model simulations and show the median and 10th to 90th percentile range in brackets. Changes are calculated from the 1986–2005 baseline to 2050 (2040–2059), 2070 (2060–2079) and 2090 (2080–2099). For temperature variables, the low-likelihood, high-warming models have been excluded from the median and range (see chapter 2 of the VCP24 TR) but are indicated separately with * for the high emissions scenario.</w:t>
      </w:r>
    </w:p>
    <w:p w14:paraId="17704124" w14:textId="799DC374" w:rsidR="00880B18" w:rsidRPr="000D7D87" w:rsidRDefault="00880B18" w:rsidP="00880B18">
      <w:pPr>
        <w:pStyle w:val="Heading1"/>
      </w:pPr>
      <w:bookmarkStart w:id="10" w:name="_Toc189831242"/>
      <w:bookmarkStart w:id="11" w:name="_Toc184285036"/>
      <w:r w:rsidRPr="000D7D87">
        <w:lastRenderedPageBreak/>
        <w:t>Interpreting the projections</w:t>
      </w:r>
      <w:r w:rsidR="004135B2">
        <w:t xml:space="preserve"> </w:t>
      </w:r>
      <w:r w:rsidRPr="000D7D87">
        <w:t>figures</w:t>
      </w:r>
      <w:bookmarkEnd w:id="10"/>
    </w:p>
    <w:p w14:paraId="487FCCEE" w14:textId="4A44231D" w:rsidR="00880B18" w:rsidRDefault="00417454" w:rsidP="00880B18">
      <w:pPr>
        <w:pStyle w:val="Caption"/>
        <w:keepNext/>
      </w:pPr>
      <w:r>
        <w:t>Figure 2</w:t>
      </w:r>
      <w:r w:rsidR="00880B18">
        <w:t xml:space="preserve">: </w:t>
      </w:r>
      <w:r w:rsidR="00880B18" w:rsidRPr="00A55101">
        <w:t xml:space="preserve">Projected change in mean annual temperature, </w:t>
      </w:r>
      <w:r w:rsidR="00B43D7C">
        <w:t>Mallee</w:t>
      </w:r>
    </w:p>
    <w:p w14:paraId="69E5B1E8" w14:textId="7349C179" w:rsidR="00880B18" w:rsidRPr="000D7D87" w:rsidRDefault="00B43D7C" w:rsidP="00880B18">
      <w:pPr>
        <w:pStyle w:val="BodyText"/>
      </w:pPr>
      <w:r>
        <w:rPr>
          <w:noProof/>
        </w:rPr>
        <w:drawing>
          <wp:inline distT="0" distB="0" distL="0" distR="0" wp14:anchorId="56F8D6E9" wp14:editId="6F902D53">
            <wp:extent cx="4680000" cy="2418523"/>
            <wp:effectExtent l="0" t="0" r="0" b="0"/>
            <wp:docPr id="563404235" name="Picture 2" descr="A graph representing projected changes in annual mean temperature over the Mallee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56649" name="Picture 2" descr="A graph representing projected changes in annual mean temperature over the Mallee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6"/>
                    <a:stretch>
                      <a:fillRect/>
                    </a:stretch>
                  </pic:blipFill>
                  <pic:spPr>
                    <a:xfrm>
                      <a:off x="0" y="0"/>
                      <a:ext cx="4680000" cy="2418523"/>
                    </a:xfrm>
                    <a:prstGeom prst="rect">
                      <a:avLst/>
                    </a:prstGeom>
                  </pic:spPr>
                </pic:pic>
              </a:graphicData>
            </a:graphic>
          </wp:inline>
        </w:drawing>
      </w:r>
    </w:p>
    <w:p w14:paraId="2BE6FD41" w14:textId="77777777" w:rsidR="00880B18" w:rsidRPr="00601B93" w:rsidRDefault="00880B18" w:rsidP="00880B18">
      <w:pPr>
        <w:pStyle w:val="ListBullet"/>
      </w:pPr>
      <w:r w:rsidRPr="00601B93">
        <w:t>Projected changes are calculated from a 1986–2005 baseline to future 20-year periods, labelled by the central year (for example, ‘2050’ represents 2040–2059).</w:t>
      </w:r>
    </w:p>
    <w:p w14:paraId="578E76A3" w14:textId="494D8C25" w:rsidR="00880B18" w:rsidRPr="00601B93" w:rsidRDefault="00880B18" w:rsidP="00880B18">
      <w:pPr>
        <w:pStyle w:val="ListBullet"/>
      </w:pPr>
      <w:r w:rsidRPr="00601B93">
        <w:t>The coloured vertical bars show the 10th to 90th percentile range from the combined set of Australia-wide and NARCliM2.0 ~4 km climate model simulations (totalling 33 different simulations). This ‘likely’ range encompasses 80%</w:t>
      </w:r>
      <w:r w:rsidR="004135B2">
        <w:t xml:space="preserve"> </w:t>
      </w:r>
      <w:r w:rsidRPr="00601B93">
        <w:t>of the model results and excludes model results which are in the top or bottom 10%. For</w:t>
      </w:r>
      <w:r w:rsidR="004135B2">
        <w:t xml:space="preserve"> </w:t>
      </w:r>
      <w:r w:rsidRPr="00601B93">
        <w:t>temperature, it also excludes ‘low-likelihood, high-warming’ simulations from models with climate sensitivity outside the expected range (ECS &gt; 4.5 °C, see chapter 2 of VCP24 TR for more</w:t>
      </w:r>
      <w:r w:rsidR="004135B2">
        <w:t xml:space="preserve"> </w:t>
      </w:r>
      <w:r w:rsidRPr="00601B93">
        <w:t>detail).</w:t>
      </w:r>
    </w:p>
    <w:p w14:paraId="21221857" w14:textId="03B5805F" w:rsidR="00A75733" w:rsidRDefault="00880B18" w:rsidP="00880B18">
      <w:pPr>
        <w:pStyle w:val="ListBullet"/>
      </w:pPr>
      <w:r w:rsidRPr="00601B93">
        <w:t>The dark horizontal line shows the median of</w:t>
      </w:r>
      <w:r w:rsidR="004135B2">
        <w:t xml:space="preserve"> </w:t>
      </w:r>
      <w:r w:rsidRPr="00601B93">
        <w:t>the</w:t>
      </w:r>
      <w:r w:rsidR="004135B2">
        <w:t xml:space="preserve"> </w:t>
      </w:r>
      <w:r w:rsidRPr="00601B93">
        <w:t>model results (excluding ‘low-likelihood, high-warming models’ for temperature).</w:t>
      </w:r>
    </w:p>
    <w:p w14:paraId="7610DC46" w14:textId="50492520" w:rsidR="00880B18" w:rsidRPr="009040B4" w:rsidRDefault="00880B18" w:rsidP="00880B18">
      <w:pPr>
        <w:pStyle w:val="ListBullet"/>
      </w:pPr>
      <w:r w:rsidRPr="00601B93">
        <w:rPr>
          <w:lang w:val="en-AU"/>
        </w:rPr>
        <w:t>Each individual model result is shown by the small dots.</w:t>
      </w:r>
      <w:r>
        <w:br w:type="page"/>
      </w:r>
    </w:p>
    <w:p w14:paraId="7FDF534D" w14:textId="2F212ECB" w:rsidR="00880B18" w:rsidRPr="00601B93" w:rsidRDefault="00880B18" w:rsidP="00417454">
      <w:pPr>
        <w:pStyle w:val="Heading2"/>
      </w:pPr>
      <w:bookmarkStart w:id="12" w:name="_Toc189831243"/>
      <w:r w:rsidRPr="00601B93">
        <w:lastRenderedPageBreak/>
        <w:t>References</w:t>
      </w:r>
      <w:bookmarkEnd w:id="12"/>
      <w:r w:rsidR="00417454">
        <w:t>:</w:t>
      </w:r>
    </w:p>
    <w:p w14:paraId="358BA423" w14:textId="44EA554E" w:rsidR="00880B18" w:rsidRPr="00601B93" w:rsidRDefault="00880B18" w:rsidP="00880B18">
      <w:pPr>
        <w:pStyle w:val="BodyText"/>
      </w:pPr>
      <w:r w:rsidRPr="00601B93">
        <w:t xml:space="preserve">CSIRO. (2024). </w:t>
      </w:r>
      <w:hyperlink r:id="rId24" w:tooltip="Hyperlink to Victoria's changing climate website" w:history="1">
        <w:r w:rsidRPr="003A3662">
          <w:rPr>
            <w:rStyle w:val="Hyperlink"/>
            <w:i/>
            <w:iCs/>
          </w:rPr>
          <w:t>Victorian Climate Projections 2024 Technical Report</w:t>
        </w:r>
      </w:hyperlink>
      <w:r w:rsidR="00DF450E">
        <w:t xml:space="preserve"> </w:t>
      </w:r>
      <w:r w:rsidRPr="00601B93">
        <w:t>– for in-depth description and analysis of the climate model projections as well as further technical references.</w:t>
      </w:r>
    </w:p>
    <w:p w14:paraId="4924B399" w14:textId="5435A0A2" w:rsidR="00880B18" w:rsidRPr="00601B93" w:rsidRDefault="00880B18" w:rsidP="00880B18">
      <w:pPr>
        <w:pStyle w:val="BodyText"/>
      </w:pPr>
      <w:r w:rsidRPr="00601B93">
        <w:t xml:space="preserve">DEECA. (2024). </w:t>
      </w:r>
      <w:hyperlink r:id="rId25" w:tooltip="Hyperlink to Victoria's changing climate website" w:history="1">
        <w:r w:rsidRPr="003A3662">
          <w:rPr>
            <w:rStyle w:val="Hyperlink"/>
            <w:i/>
            <w:iCs/>
          </w:rPr>
          <w:t>Victoria’s Climate Science Report 2024</w:t>
        </w:r>
      </w:hyperlink>
      <w:r w:rsidR="002C5D1C">
        <w:t xml:space="preserve"> </w:t>
      </w:r>
      <w:r w:rsidRPr="00601B93">
        <w:t>– for an up-to-date synthesis of observed and projected future climate changes for the</w:t>
      </w:r>
      <w:r w:rsidR="004135B2">
        <w:t xml:space="preserve"> </w:t>
      </w:r>
      <w:r w:rsidRPr="00601B93">
        <w:t>state of Victoria and more information on climate</w:t>
      </w:r>
      <w:r w:rsidR="004135B2">
        <w:t xml:space="preserve"> </w:t>
      </w:r>
      <w:r w:rsidRPr="00601B93">
        <w:t>hazards.</w:t>
      </w:r>
    </w:p>
    <w:p w14:paraId="200AC91A" w14:textId="5A80D994" w:rsidR="00880B18" w:rsidRPr="00601B93" w:rsidRDefault="00880B18" w:rsidP="00880B18">
      <w:pPr>
        <w:pStyle w:val="BodyText"/>
      </w:pPr>
      <w:r w:rsidRPr="00601B93">
        <w:t xml:space="preserve">McInnes, K. L., &amp; Zhang, X. (2024). </w:t>
      </w:r>
      <w:hyperlink r:id="rId26" w:tooltip="Hyperlink to Victoria's changing climate website" w:history="1">
        <w:r w:rsidRPr="003A3662">
          <w:rPr>
            <w:rStyle w:val="Hyperlink"/>
            <w:i/>
            <w:iCs/>
          </w:rPr>
          <w:t>Updated Sea-level Projections for Victoria</w:t>
        </w:r>
      </w:hyperlink>
      <w:r w:rsidRPr="00601B93">
        <w:t>. CSIRO Environment report for Department Environment, Energy and Climate Action, Victoria – provides the latest science relating to sea level from the IPCC’s sixth assessment report.</w:t>
      </w:r>
    </w:p>
    <w:p w14:paraId="58D1C016" w14:textId="46B14FED" w:rsidR="00880B18" w:rsidRDefault="00880B18" w:rsidP="00880B18">
      <w:pPr>
        <w:pStyle w:val="BodyText"/>
      </w:pPr>
      <w:r w:rsidRPr="00601B93">
        <w:rPr>
          <w:lang w:val="en-AU"/>
        </w:rPr>
        <w:t xml:space="preserve">Wasko, C., Westra, S., Nathan, R., Pepler, A., Raupach, T. H., Dowdy, A., Johnson, </w:t>
      </w:r>
      <w:r>
        <w:rPr>
          <w:lang w:val="en-AU"/>
        </w:rPr>
        <w:br/>
      </w:r>
      <w:r w:rsidRPr="00601B93">
        <w:rPr>
          <w:lang w:val="en-AU"/>
        </w:rPr>
        <w:t>F., Ho, M., McInnes, K. L., Jakob, D., Evans, J., Villarini, G., and Fowler, H.</w:t>
      </w:r>
      <w:r w:rsidR="004135B2">
        <w:rPr>
          <w:lang w:val="en-AU"/>
        </w:rPr>
        <w:t xml:space="preserve"> </w:t>
      </w:r>
      <w:r w:rsidRPr="00601B93">
        <w:rPr>
          <w:lang w:val="en-AU"/>
        </w:rPr>
        <w:t>J.</w:t>
      </w:r>
      <w:r w:rsidR="004135B2">
        <w:rPr>
          <w:lang w:val="en-AU"/>
        </w:rPr>
        <w:t xml:space="preserve"> </w:t>
      </w:r>
      <w:r w:rsidRPr="00601B93">
        <w:rPr>
          <w:lang w:val="en-AU"/>
        </w:rPr>
        <w:t>(2024)</w:t>
      </w:r>
      <w:r w:rsidR="00EF74CF">
        <w:rPr>
          <w:lang w:val="en-AU"/>
        </w:rPr>
        <w:t>.</w:t>
      </w:r>
      <w:r w:rsidRPr="00601B93">
        <w:rPr>
          <w:lang w:val="en-AU"/>
        </w:rPr>
        <w:t xml:space="preserve"> </w:t>
      </w:r>
      <w:r>
        <w:rPr>
          <w:lang w:val="en-AU"/>
        </w:rPr>
        <w:br/>
      </w:r>
      <w:hyperlink r:id="rId27" w:tooltip="Hyperlink to website of full article" w:history="1">
        <w:r w:rsidRPr="003A3662">
          <w:rPr>
            <w:rStyle w:val="Hyperlink"/>
            <w:lang w:val="en-AU"/>
          </w:rPr>
          <w:t>A systematic review of climate change science relevant to Australian design flood estimation</w:t>
        </w:r>
      </w:hyperlink>
      <w:r w:rsidRPr="00601B93">
        <w:rPr>
          <w:lang w:val="en-AU"/>
        </w:rPr>
        <w:t xml:space="preserve">, </w:t>
      </w:r>
      <w:r w:rsidRPr="00601B93">
        <w:rPr>
          <w:i/>
          <w:iCs/>
          <w:lang w:val="en-AU"/>
        </w:rPr>
        <w:t>Hydrology and Earth Systems Sciences</w:t>
      </w:r>
      <w:r w:rsidRPr="00601B93">
        <w:rPr>
          <w:lang w:val="en-AU"/>
        </w:rPr>
        <w:t>,</w:t>
      </w:r>
      <w:r w:rsidR="004135B2">
        <w:rPr>
          <w:lang w:val="en-AU"/>
        </w:rPr>
        <w:t xml:space="preserve"> </w:t>
      </w:r>
      <w:r w:rsidRPr="00601B93">
        <w:rPr>
          <w:lang w:val="en-AU"/>
        </w:rPr>
        <w:t>28(5), 1251–1285</w:t>
      </w:r>
      <w:r w:rsidR="00AB4C79">
        <w:rPr>
          <w:lang w:val="en-AU"/>
        </w:rPr>
        <w:t>.</w:t>
      </w:r>
      <w:r w:rsidRPr="00601B93">
        <w:rPr>
          <w:lang w:val="en-AU"/>
        </w:rPr>
        <w:t xml:space="preserve"> </w:t>
      </w:r>
    </w:p>
    <w:p w14:paraId="01C2FD70" w14:textId="21577996" w:rsidR="00880B18" w:rsidRPr="00601B93" w:rsidRDefault="00880B18" w:rsidP="00417454">
      <w:pPr>
        <w:pStyle w:val="Heading2"/>
      </w:pPr>
      <w:bookmarkStart w:id="13" w:name="_Toc189831244"/>
      <w:r w:rsidRPr="00601B93">
        <w:t>Other resources</w:t>
      </w:r>
      <w:bookmarkEnd w:id="13"/>
      <w:r w:rsidR="00417454">
        <w:t>:</w:t>
      </w:r>
    </w:p>
    <w:p w14:paraId="30816550" w14:textId="65013BEB" w:rsidR="00880B18" w:rsidRPr="00601B93" w:rsidRDefault="00880B18" w:rsidP="00880B18">
      <w:pPr>
        <w:pStyle w:val="BodyText"/>
      </w:pPr>
      <w:r w:rsidRPr="00601B93">
        <w:t xml:space="preserve">For other information and resources relating to VCSR24 refer to DEECA’s website </w:t>
      </w:r>
      <w:hyperlink r:id="rId28" w:tooltip="Hyperlink to Victoria’s changing climate: Understanding Victoria's past and future climate website" w:history="1">
        <w:r w:rsidRPr="003A3662">
          <w:rPr>
            <w:rStyle w:val="Hyperlink"/>
          </w:rPr>
          <w:t>Victoria’s changing climate: Understanding Victoria's past and future climate</w:t>
        </w:r>
      </w:hyperlink>
      <w:r w:rsidR="00C319CA">
        <w:t xml:space="preserve">. </w:t>
      </w:r>
      <w:r w:rsidRPr="00601B93">
        <w:t>This includes:</w:t>
      </w:r>
    </w:p>
    <w:p w14:paraId="6F188DAC" w14:textId="36749B01" w:rsidR="00880B18" w:rsidRPr="00601B93" w:rsidRDefault="00DC1FD8" w:rsidP="00770206">
      <w:pPr>
        <w:pStyle w:val="ListBullet"/>
      </w:pPr>
      <w:r w:rsidRPr="00013B52">
        <w:t>Clarke, J.M., Grose, M., Thatcher., M., Round, V., &amp; Heady, C. (2019)</w:t>
      </w:r>
      <w:r w:rsidR="00A53E76" w:rsidRPr="00A53E76">
        <w:t xml:space="preserve">. </w:t>
      </w:r>
      <w:hyperlink r:id="rId29" w:tooltip="Hyperlink to the PDF document Mallee Climate Projections 2019" w:history="1">
        <w:r w:rsidR="00A53E76" w:rsidRPr="00A53E76">
          <w:rPr>
            <w:rStyle w:val="Hyperlink"/>
            <w:i/>
            <w:iCs/>
          </w:rPr>
          <w:t>Mallee Climate Projections 2019</w:t>
        </w:r>
      </w:hyperlink>
      <w:r w:rsidR="00A53E76" w:rsidRPr="00A53E76">
        <w:t>. CSIRO.</w:t>
      </w:r>
      <w:r w:rsidR="00C319CA" w:rsidRPr="00601B93">
        <w:t xml:space="preserve"> </w:t>
      </w:r>
    </w:p>
    <w:p w14:paraId="1BFFE7A3" w14:textId="5692EDFA" w:rsidR="00880B18" w:rsidRPr="00601B93" w:rsidRDefault="00880B18" w:rsidP="00880B18">
      <w:pPr>
        <w:pStyle w:val="ListBullet"/>
      </w:pPr>
      <w:hyperlink r:id="rId30" w:tooltip="Hyperlink to PDF document of Factsheet 1" w:history="1">
        <w:r w:rsidRPr="009040B4">
          <w:rPr>
            <w:rStyle w:val="Hyperlink"/>
          </w:rPr>
          <w:t>Factsheet 1 – How do the Victorian Climate Projections 2024 compare with previous climate projections for Victoria?</w:t>
        </w:r>
      </w:hyperlink>
      <w:r w:rsidRPr="00601B93">
        <w:t xml:space="preserve"> </w:t>
      </w:r>
    </w:p>
    <w:p w14:paraId="43661E20" w14:textId="06D9978E" w:rsidR="00880B18" w:rsidRPr="00601B93" w:rsidRDefault="00880B18" w:rsidP="00880B18">
      <w:pPr>
        <w:pStyle w:val="ListBullet"/>
      </w:pPr>
      <w:hyperlink r:id="rId31" w:tooltip="Hyperlink to PDF document of Factsheet 2" w:history="1">
        <w:r w:rsidRPr="009040B4">
          <w:rPr>
            <w:rStyle w:val="Hyperlink"/>
          </w:rPr>
          <w:t>Factsheet 2 – What do the Victorian Climate Projections 2024 say about changes in rainfall?</w:t>
        </w:r>
      </w:hyperlink>
    </w:p>
    <w:p w14:paraId="3F9E7729" w14:textId="70C4C5E5" w:rsidR="00880B18" w:rsidRPr="00601B93" w:rsidRDefault="00880B18" w:rsidP="00880B18">
      <w:pPr>
        <w:pStyle w:val="ListBullet"/>
      </w:pPr>
      <w:hyperlink r:id="rId32" w:tooltip="Hyperlink to PDF document of Factsheet 3" w:history="1">
        <w:r w:rsidRPr="009040B4">
          <w:rPr>
            <w:rStyle w:val="Hyperlink"/>
          </w:rPr>
          <w:t>Factsheet 3 – Using the Victorian Climate Projections 2024</w:t>
        </w:r>
      </w:hyperlink>
      <w:r w:rsidRPr="00601B93">
        <w:t xml:space="preserve"> </w:t>
      </w:r>
    </w:p>
    <w:p w14:paraId="3D4E28F3" w14:textId="3CEFA5C6" w:rsidR="00880B18" w:rsidRPr="00601B93" w:rsidRDefault="00880B18" w:rsidP="00880B18">
      <w:pPr>
        <w:pStyle w:val="LastBulletinList"/>
      </w:pPr>
      <w:hyperlink r:id="rId33" w:tooltip="Hyperlink to PDF document of Factsheet 4" w:history="1">
        <w:r w:rsidRPr="009040B4">
          <w:rPr>
            <w:rStyle w:val="Hyperlink"/>
          </w:rPr>
          <w:t>Factsheet 4 – Unmodelled futures and the Victorian Climate Projections 2024</w:t>
        </w:r>
      </w:hyperlink>
    </w:p>
    <w:p w14:paraId="77E6E1A6" w14:textId="34945EF7" w:rsidR="00880B18" w:rsidRPr="00880B18" w:rsidRDefault="00880B18" w:rsidP="006C2DF1">
      <w:pPr>
        <w:pStyle w:val="ListBullet"/>
      </w:pPr>
      <w:hyperlink r:id="rId34" w:tooltip="Hyperlink to Victoria’s Future Climate Tool website" w:history="1">
        <w:r w:rsidRPr="009040B4">
          <w:rPr>
            <w:rStyle w:val="Hyperlink"/>
          </w:rPr>
          <w:t>Victoria’s Future Climate Tool</w:t>
        </w:r>
      </w:hyperlink>
      <w:r w:rsidRPr="00601B93">
        <w:t xml:space="preserve"> </w:t>
      </w:r>
      <w:r>
        <w:br w:type="page"/>
      </w:r>
    </w:p>
    <w:p w14:paraId="02F9BFE2" w14:textId="23C2814B" w:rsidR="00222FF2" w:rsidRDefault="00222FF2" w:rsidP="00222FF2">
      <w:pPr>
        <w:pStyle w:val="Heading1"/>
      </w:pPr>
      <w:bookmarkStart w:id="14" w:name="_Toc189831245"/>
      <w:r w:rsidRPr="00AD02AB">
        <w:lastRenderedPageBreak/>
        <w:t>Publication information</w:t>
      </w:r>
      <w:bookmarkEnd w:id="11"/>
      <w:bookmarkEnd w:id="14"/>
    </w:p>
    <w:p w14:paraId="4242E225" w14:textId="77777777" w:rsidR="00222FF2" w:rsidRPr="001C7BB6" w:rsidRDefault="00222FF2" w:rsidP="00222FF2">
      <w:pPr>
        <w:pStyle w:val="Heading2"/>
        <w:rPr>
          <w:sz w:val="32"/>
          <w:szCs w:val="32"/>
        </w:rPr>
      </w:pPr>
      <w:r w:rsidRPr="001C7BB6">
        <w:rPr>
          <w:sz w:val="32"/>
          <w:szCs w:val="32"/>
        </w:rPr>
        <w:t>Acknowledgements</w:t>
      </w:r>
    </w:p>
    <w:p w14:paraId="1AEA8342" w14:textId="5DB877DD" w:rsidR="00222FF2" w:rsidRPr="001220F2" w:rsidRDefault="001220F2" w:rsidP="001220F2">
      <w:pPr>
        <w:pStyle w:val="BodyText"/>
      </w:pPr>
      <w:r w:rsidRPr="001220F2">
        <w:t>We acknowledge Victorian Traditional Owners and their Elders past and present as the original custodians of Victoria’s land and waters and commit to genuinely partnering with them and Victoria’s Aboriginal community to progress their aspirations</w:t>
      </w:r>
      <w:r w:rsidR="00222FF2" w:rsidRPr="006D3BAD">
        <w:t>.</w:t>
      </w:r>
    </w:p>
    <w:p w14:paraId="31BA2EFA" w14:textId="77777777" w:rsidR="00222FF2" w:rsidRPr="001C7BB6" w:rsidRDefault="00222FF2" w:rsidP="00222FF2">
      <w:pPr>
        <w:pStyle w:val="Heading2"/>
        <w:rPr>
          <w:sz w:val="32"/>
          <w:szCs w:val="32"/>
        </w:rPr>
      </w:pPr>
      <w:r w:rsidRPr="001C7BB6">
        <w:rPr>
          <w:sz w:val="32"/>
          <w:szCs w:val="32"/>
        </w:rPr>
        <w:t>Copyright</w:t>
      </w:r>
    </w:p>
    <w:p w14:paraId="4EA908E8" w14:textId="374344A5" w:rsidR="00222FF2" w:rsidRPr="001220F2" w:rsidRDefault="00222FF2" w:rsidP="00222FF2">
      <w:pPr>
        <w:pStyle w:val="BodyText"/>
        <w:ind w:right="-285"/>
        <w:rPr>
          <w:lang w:val="en-AU"/>
        </w:rPr>
      </w:pPr>
      <w:r w:rsidRPr="00F666C5">
        <w:rPr>
          <w:lang w:val="en-US"/>
        </w:rPr>
        <w:t xml:space="preserve">© </w:t>
      </w:r>
      <w:r w:rsidR="001220F2" w:rsidRPr="001220F2">
        <w:rPr>
          <w:lang w:val="en-AU"/>
        </w:rPr>
        <w:t>The State of Victoria Department of Energy, Environment and Climate Action January 2025</w:t>
      </w:r>
    </w:p>
    <w:p w14:paraId="45C78F30" w14:textId="77777777" w:rsidR="00222FF2" w:rsidRPr="001C7BB6" w:rsidRDefault="00222FF2" w:rsidP="00222FF2">
      <w:pPr>
        <w:pStyle w:val="Heading2"/>
        <w:rPr>
          <w:sz w:val="32"/>
          <w:szCs w:val="32"/>
        </w:rPr>
      </w:pPr>
      <w:r w:rsidRPr="001C7BB6">
        <w:rPr>
          <w:sz w:val="32"/>
          <w:szCs w:val="32"/>
        </w:rPr>
        <w:t>Creative Commons</w:t>
      </w:r>
    </w:p>
    <w:p w14:paraId="13CCF54A" w14:textId="70D78BF4"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licence, visit the </w:t>
      </w:r>
      <w:hyperlink r:id="rId35" w:tooltip="Hyperlink to Creative Commons website" w:history="1">
        <w:r w:rsidRPr="00F666C5">
          <w:rPr>
            <w:rStyle w:val="Hyperlink"/>
            <w:lang w:val="en-US"/>
          </w:rPr>
          <w:t>Creative</w:t>
        </w:r>
        <w:r w:rsidR="004135B2">
          <w:rPr>
            <w:rStyle w:val="Hyperlink"/>
            <w:lang w:val="en-US"/>
          </w:rPr>
          <w:t xml:space="preserve"> </w:t>
        </w:r>
        <w:r w:rsidRPr="00F666C5">
          <w:rPr>
            <w:rStyle w:val="Hyperlink"/>
            <w:lang w:val="en-US"/>
          </w:rPr>
          <w:t>Commons website</w:t>
        </w:r>
      </w:hyperlink>
      <w:r w:rsidRPr="00F666C5">
        <w:rPr>
          <w:lang w:val="en-US"/>
        </w:rPr>
        <w:t xml:space="preserve"> (</w:t>
      </w:r>
      <w:hyperlink r:id="rId36" w:tooltip="Hyperlink to Creative Commons website" w:history="1">
        <w:r w:rsidRPr="00F666C5">
          <w:rPr>
            <w:rStyle w:val="Hyperlink"/>
            <w:lang w:val="en-US"/>
          </w:rPr>
          <w:t>http://creativecommons.org/licenses/by/4.0/</w:t>
        </w:r>
      </w:hyperlink>
      <w:r w:rsidRPr="00F666C5">
        <w:rPr>
          <w:lang w:val="en-US"/>
        </w:rPr>
        <w:t>).</w:t>
      </w:r>
    </w:p>
    <w:p w14:paraId="38EACAFC" w14:textId="462D7171" w:rsidR="00222FF2" w:rsidRPr="00F666C5" w:rsidRDefault="00222FF2" w:rsidP="00222FF2">
      <w:pPr>
        <w:pStyle w:val="BodyText"/>
        <w:ind w:right="-285"/>
        <w:rPr>
          <w:lang w:val="en-US"/>
        </w:rPr>
      </w:pPr>
      <w:r w:rsidRPr="00F666C5">
        <w:rPr>
          <w:lang w:val="en-US"/>
        </w:rPr>
        <w:t>You are free to re-use the work under that licence, on the condition that you credit the State of Victoria as author. The licence does not apply to any images, photographs or branding, including the</w:t>
      </w:r>
      <w:r w:rsidR="004135B2">
        <w:rPr>
          <w:lang w:val="en-US"/>
        </w:rPr>
        <w:t xml:space="preserve"> </w:t>
      </w:r>
      <w:r w:rsidRPr="00F666C5">
        <w:rPr>
          <w:lang w:val="en-US"/>
        </w:rPr>
        <w:t>Victorian Coat of Arms, and the Victorian Government and Department logos.</w:t>
      </w:r>
    </w:p>
    <w:p w14:paraId="5120FDF0" w14:textId="69F1845A" w:rsidR="001220F2" w:rsidRPr="004135B2" w:rsidRDefault="001220F2" w:rsidP="001220F2">
      <w:pPr>
        <w:pStyle w:val="BodyText"/>
      </w:pPr>
      <w:r w:rsidRPr="001220F2">
        <w:rPr>
          <w:b/>
          <w:bCs/>
        </w:rPr>
        <w:t>ISBN</w:t>
      </w:r>
      <w:r w:rsidRPr="001220F2">
        <w:t xml:space="preserve"> </w:t>
      </w:r>
      <w:r w:rsidR="004135B2" w:rsidRPr="004135B2">
        <w:t>978-1-76176-018-1</w:t>
      </w:r>
      <w:r w:rsidR="00880B18">
        <w:rPr>
          <w:lang w:val="en-AU"/>
        </w:rPr>
        <w:t xml:space="preserve"> </w:t>
      </w:r>
      <w:r w:rsidRPr="001220F2">
        <w:rPr>
          <w:b/>
          <w:bCs/>
        </w:rPr>
        <w:t>(pdf/online/MS word)</w:t>
      </w:r>
    </w:p>
    <w:p w14:paraId="41524BF4" w14:textId="542F85B3" w:rsidR="008A491F" w:rsidRPr="008A491F" w:rsidRDefault="00026992" w:rsidP="001220F2">
      <w:pPr>
        <w:pStyle w:val="BodyText"/>
        <w:rPr>
          <w:lang w:val="en-US"/>
        </w:rPr>
      </w:pPr>
      <w:r w:rsidRPr="001220F2">
        <w:rPr>
          <w:lang w:val="en-US"/>
        </w:rPr>
        <w:t xml:space="preserve">Citation: </w:t>
      </w:r>
      <w:r w:rsidRPr="00AE7D98">
        <w:rPr>
          <w:lang w:val="en-US"/>
        </w:rPr>
        <w:t>CSIRO &amp; Department of Energy, Environment and Climate Action (DEECA)</w:t>
      </w:r>
      <w:r>
        <w:rPr>
          <w:lang w:val="en-US"/>
        </w:rPr>
        <w:t>.</w:t>
      </w:r>
      <w:r w:rsidRPr="00AE7D98">
        <w:rPr>
          <w:lang w:val="en-US"/>
        </w:rPr>
        <w:t xml:space="preserve"> (2024). </w:t>
      </w:r>
      <w:r>
        <w:rPr>
          <w:i/>
          <w:iCs/>
          <w:lang w:val="en-US"/>
        </w:rPr>
        <w:t>Mallee</w:t>
      </w:r>
      <w:r w:rsidRPr="00AE7D98">
        <w:rPr>
          <w:i/>
          <w:iCs/>
          <w:lang w:val="en-US"/>
        </w:rPr>
        <w:t xml:space="preserve"> Climate Projections 2024</w:t>
      </w:r>
      <w:r w:rsidRPr="001220F2">
        <w:rPr>
          <w:lang w:val="en-US"/>
        </w:rPr>
        <w:t>.</w:t>
      </w:r>
      <w:r w:rsidR="00695279">
        <w:rPr>
          <w:lang w:val="en-US"/>
        </w:rPr>
        <w:t xml:space="preserve"> </w:t>
      </w:r>
      <w:hyperlink r:id="rId37" w:tooltip="Hyperlink to Victoria's changing climate website" w:history="1">
        <w:r w:rsidR="008A491F" w:rsidRPr="003851C7">
          <w:rPr>
            <w:rStyle w:val="Hyperlink"/>
            <w:lang w:val="en-US"/>
          </w:rPr>
          <w:t>https://www.climatechange.vic.gov.au/victorias-changing-climate</w:t>
        </w:r>
      </w:hyperlink>
    </w:p>
    <w:p w14:paraId="563A2D69" w14:textId="67559B30" w:rsidR="001220F2" w:rsidRPr="00880B18" w:rsidRDefault="001220F2" w:rsidP="001220F2">
      <w:pPr>
        <w:pStyle w:val="BodyText"/>
        <w:rPr>
          <w:lang w:val="en-US"/>
        </w:rPr>
      </w:pPr>
      <w:r w:rsidRPr="001220F2">
        <w:rPr>
          <w:lang w:val="en-US"/>
        </w:rPr>
        <w:t>This report should be read in conjunction with the Victorian Climate Projections 2024 Technical Report, Victoria’s Climate Science Report 2024, and Updated Sea-level Projections for Victoria 2024.</w:t>
      </w:r>
    </w:p>
    <w:p w14:paraId="3DF98362" w14:textId="77777777" w:rsidR="00222FF2" w:rsidRPr="001C7BB6" w:rsidRDefault="00222FF2" w:rsidP="00222FF2">
      <w:pPr>
        <w:pStyle w:val="Heading2"/>
        <w:rPr>
          <w:sz w:val="32"/>
          <w:szCs w:val="32"/>
        </w:rPr>
      </w:pPr>
      <w:r w:rsidRPr="001C7BB6">
        <w:rPr>
          <w:sz w:val="32"/>
          <w:szCs w:val="32"/>
        </w:rPr>
        <w:lastRenderedPageBreak/>
        <w:t>Disclaimer</w:t>
      </w:r>
    </w:p>
    <w:p w14:paraId="48E53923" w14:textId="09522882" w:rsidR="001220F2" w:rsidRPr="001220F2" w:rsidRDefault="001220F2" w:rsidP="001220F2">
      <w:pPr>
        <w:pStyle w:val="BodyText"/>
        <w:rPr>
          <w:lang w:val="en-US"/>
        </w:rPr>
      </w:pPr>
      <w:r w:rsidRPr="001220F2">
        <w:rPr>
          <w:lang w:val="en-US"/>
        </w:rPr>
        <w:t>CSIRO and the State of Victoria advise that the information contained</w:t>
      </w:r>
      <w:r w:rsidR="004135B2">
        <w:rPr>
          <w:lang w:val="en-US"/>
        </w:rPr>
        <w:t xml:space="preserve"> </w:t>
      </w:r>
      <w:r w:rsidRPr="001220F2">
        <w:rPr>
          <w:lang w:val="en-US"/>
        </w:rPr>
        <w:t>in this publication comprises general statements based on</w:t>
      </w:r>
      <w:r w:rsidR="004135B2">
        <w:rPr>
          <w:lang w:val="en-US"/>
        </w:rPr>
        <w:t xml:space="preserve"> </w:t>
      </w:r>
      <w:r w:rsidRPr="001220F2">
        <w:rPr>
          <w:lang w:val="en-US"/>
        </w:rPr>
        <w:t>scientific research.</w:t>
      </w:r>
    </w:p>
    <w:p w14:paraId="283223F7" w14:textId="311C2DF7" w:rsidR="00222FF2" w:rsidRPr="005A5FCD" w:rsidRDefault="001220F2" w:rsidP="001220F2">
      <w:pPr>
        <w:pStyle w:val="BodyText"/>
      </w:pPr>
      <w:r w:rsidRPr="001220F2">
        <w:rPr>
          <w:lang w:val="en-US"/>
        </w:rPr>
        <w:t>The reader is advised and needs to be aware that such information may be incomplete or unable to be used in any specific situation. No</w:t>
      </w:r>
      <w:r w:rsidR="004135B2">
        <w:rPr>
          <w:lang w:val="en-US"/>
        </w:rPr>
        <w:t xml:space="preserve"> </w:t>
      </w:r>
      <w:r w:rsidRPr="001220F2">
        <w:rPr>
          <w:lang w:val="en-US"/>
        </w:rPr>
        <w:t>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w:t>
      </w:r>
      <w:r w:rsidR="004135B2">
        <w:rPr>
          <w:lang w:val="en-US"/>
        </w:rPr>
        <w:t xml:space="preserve"> </w:t>
      </w:r>
      <w:r w:rsidRPr="001220F2">
        <w:rPr>
          <w:lang w:val="en-US"/>
        </w:rPr>
        <w:t>material contained in it</w:t>
      </w:r>
      <w:r w:rsidR="00222FF2">
        <w:t>.</w:t>
      </w:r>
    </w:p>
    <w:p w14:paraId="269A7AA5" w14:textId="77777777" w:rsidR="00222FF2" w:rsidRPr="001C7BB6" w:rsidRDefault="00222FF2" w:rsidP="00222FF2">
      <w:pPr>
        <w:pStyle w:val="Heading2"/>
        <w:rPr>
          <w:sz w:val="32"/>
          <w:szCs w:val="32"/>
        </w:rPr>
      </w:pPr>
      <w:r w:rsidRPr="001C7BB6">
        <w:rPr>
          <w:sz w:val="32"/>
          <w:szCs w:val="32"/>
        </w:rPr>
        <w:t>Accessibility</w:t>
      </w:r>
    </w:p>
    <w:p w14:paraId="0F5FE376" w14:textId="77777777" w:rsidR="00222FF2" w:rsidRPr="00CB4B87" w:rsidRDefault="00222FF2" w:rsidP="00222FF2">
      <w:pPr>
        <w:pStyle w:val="BodyText"/>
      </w:pPr>
      <w:r>
        <w:t xml:space="preserve">To receive this document in an alternative format, phone the Customer Service Centre on 136 186, email </w:t>
      </w:r>
      <w:hyperlink r:id="rId38" w:tooltip="Send an email to customer service" w:history="1">
        <w:r w:rsidRPr="0078282A">
          <w:rPr>
            <w:rStyle w:val="Hyperlink"/>
          </w:rPr>
          <w:t>customer.service@delwp.vic.gov.au</w:t>
        </w:r>
      </w:hyperlink>
      <w:r>
        <w:t>, or contact National Relay Service on 133 677. Available at DEECA website (</w:t>
      </w:r>
      <w:hyperlink r:id="rId39" w:tooltip="Hyperlink to the DEECA website" w:history="1">
        <w:r w:rsidRPr="0078282A">
          <w:rPr>
            <w:rStyle w:val="Hyperlink"/>
          </w:rPr>
          <w:t>www.deeca.vic.gov.au</w:t>
        </w:r>
      </w:hyperlink>
      <w:r>
        <w:t>).</w:t>
      </w:r>
    </w:p>
    <w:p w14:paraId="6CA5DF56" w14:textId="77777777" w:rsidR="00F767CD" w:rsidRPr="00F767CD" w:rsidRDefault="00222FF2" w:rsidP="003C0AAC">
      <w:pPr>
        <w:pStyle w:val="BodyText"/>
        <w:spacing w:before="800"/>
        <w:rPr>
          <w:b/>
          <w:bCs/>
        </w:rPr>
      </w:pPr>
      <w:r w:rsidRPr="00F767CD">
        <w:rPr>
          <w:b/>
          <w:bCs/>
        </w:rPr>
        <w:t>End of document.</w:t>
      </w:r>
    </w:p>
    <w:sectPr w:rsidR="00F767CD" w:rsidRPr="00F767CD" w:rsidSect="00A471F2">
      <w:pgSz w:w="11906" w:h="16838"/>
      <w:pgMar w:top="1134" w:right="1134" w:bottom="1134" w:left="1134"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6D152" w14:textId="77777777" w:rsidR="006C1271" w:rsidRDefault="006C1271" w:rsidP="00F2730B">
      <w:pPr>
        <w:spacing w:after="0" w:line="240" w:lineRule="auto"/>
      </w:pPr>
      <w:r>
        <w:separator/>
      </w:r>
    </w:p>
  </w:endnote>
  <w:endnote w:type="continuationSeparator" w:id="0">
    <w:p w14:paraId="46856D19" w14:textId="77777777" w:rsidR="006C1271" w:rsidRDefault="006C1271"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VIC Medium">
    <w:panose1 w:val="00000600000000000000"/>
    <w:charset w:val="00"/>
    <w:family w:val="auto"/>
    <w:pitch w:val="variable"/>
    <w:sig w:usb0="00000007" w:usb1="00000000" w:usb2="00000000" w:usb3="00000000" w:csb0="00000093"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EndPr>
      <w:rPr>
        <w:rStyle w:val="PageNumber"/>
      </w:rPr>
    </w:sdtEndPr>
    <w:sdtContent>
      <w:p w14:paraId="119018A1" w14:textId="77777777" w:rsidR="00B165A7" w:rsidRDefault="00B165A7" w:rsidP="00A47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D85D1"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0306221"/>
      <w:docPartObj>
        <w:docPartGallery w:val="Page Numbers (Bottom of Page)"/>
        <w:docPartUnique/>
      </w:docPartObj>
    </w:sdtPr>
    <w:sdtEndPr>
      <w:rPr>
        <w:rStyle w:val="PageNumber"/>
      </w:rPr>
    </w:sdtEndPr>
    <w:sdtContent>
      <w:p w14:paraId="5AAD6C7D" w14:textId="77777777" w:rsidR="00DE1F08" w:rsidRDefault="00DE1F08" w:rsidP="008429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27DF43" w14:textId="3E8CFE53" w:rsidR="00DE1F08" w:rsidRPr="00D22A4E" w:rsidRDefault="00B03EA3" w:rsidP="00D22A4E">
    <w:pPr>
      <w:pStyle w:val="Footer"/>
      <w:ind w:right="360"/>
      <w:rPr>
        <w:b/>
        <w:bCs/>
        <w:lang w:val="en-GB"/>
      </w:rPr>
    </w:pPr>
    <w:r w:rsidRPr="00B03EA3">
      <w:rPr>
        <w:lang w:val="en-GB"/>
      </w:rPr>
      <w:t>Mallee</w:t>
    </w:r>
    <w:r>
      <w:rPr>
        <w:b/>
        <w:bCs/>
        <w:lang w:val="en-GB"/>
      </w:rPr>
      <w:t xml:space="preserve"> </w:t>
    </w:r>
    <w:r w:rsidR="00DE1F08" w:rsidRPr="00D22A4E">
      <w:rPr>
        <w:lang w:val="en-GB"/>
      </w:rPr>
      <w:t>Climate Projections 2024</w:t>
    </w:r>
  </w:p>
  <w:p w14:paraId="76ACDDBC" w14:textId="77777777" w:rsidR="00DE1F08" w:rsidRDefault="00DE1F08" w:rsidP="00B165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CE7C4" w14:textId="77777777" w:rsidR="00DE1F08" w:rsidRDefault="00DE1F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1ED4" w14:textId="77777777" w:rsidR="00A471F2" w:rsidRDefault="00A47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DBA0" w14:textId="77777777" w:rsidR="006C1271" w:rsidRDefault="006C1271" w:rsidP="00F2730B">
      <w:pPr>
        <w:spacing w:after="0" w:line="240" w:lineRule="auto"/>
      </w:pPr>
      <w:r>
        <w:separator/>
      </w:r>
    </w:p>
  </w:footnote>
  <w:footnote w:type="continuationSeparator" w:id="0">
    <w:p w14:paraId="12BAA323" w14:textId="77777777" w:rsidR="006C1271" w:rsidRDefault="006C1271"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6"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6"/>
  </w:num>
  <w:num w:numId="2" w16cid:durableId="1813522522">
    <w:abstractNumId w:val="3"/>
  </w:num>
  <w:num w:numId="3" w16cid:durableId="533276510">
    <w:abstractNumId w:val="25"/>
  </w:num>
  <w:num w:numId="4" w16cid:durableId="771362055">
    <w:abstractNumId w:val="2"/>
  </w:num>
  <w:num w:numId="5" w16cid:durableId="3823149">
    <w:abstractNumId w:val="17"/>
  </w:num>
  <w:num w:numId="6" w16cid:durableId="338390637">
    <w:abstractNumId w:val="5"/>
  </w:num>
  <w:num w:numId="7" w16cid:durableId="182984412">
    <w:abstractNumId w:val="22"/>
  </w:num>
  <w:num w:numId="8" w16cid:durableId="853954488">
    <w:abstractNumId w:val="15"/>
  </w:num>
  <w:num w:numId="9" w16cid:durableId="307325374">
    <w:abstractNumId w:val="9"/>
  </w:num>
  <w:num w:numId="10" w16cid:durableId="1207567416">
    <w:abstractNumId w:val="12"/>
  </w:num>
  <w:num w:numId="11" w16cid:durableId="1714499310">
    <w:abstractNumId w:val="11"/>
  </w:num>
  <w:num w:numId="12" w16cid:durableId="1557817223">
    <w:abstractNumId w:val="19"/>
  </w:num>
  <w:num w:numId="13" w16cid:durableId="766468131">
    <w:abstractNumId w:val="7"/>
  </w:num>
  <w:num w:numId="14" w16cid:durableId="401634644">
    <w:abstractNumId w:val="4"/>
  </w:num>
  <w:num w:numId="15" w16cid:durableId="1333338980">
    <w:abstractNumId w:val="8"/>
  </w:num>
  <w:num w:numId="16" w16cid:durableId="2077896738">
    <w:abstractNumId w:val="14"/>
  </w:num>
  <w:num w:numId="17" w16cid:durableId="318195612">
    <w:abstractNumId w:val="0"/>
  </w:num>
  <w:num w:numId="18" w16cid:durableId="172572898">
    <w:abstractNumId w:val="16"/>
  </w:num>
  <w:num w:numId="19" w16cid:durableId="1306818322">
    <w:abstractNumId w:val="1"/>
  </w:num>
  <w:num w:numId="20" w16cid:durableId="1536767415">
    <w:abstractNumId w:val="23"/>
  </w:num>
  <w:num w:numId="21" w16cid:durableId="54209663">
    <w:abstractNumId w:val="6"/>
  </w:num>
  <w:num w:numId="22" w16cid:durableId="1336883623">
    <w:abstractNumId w:val="21"/>
  </w:num>
  <w:num w:numId="23" w16cid:durableId="1204173423">
    <w:abstractNumId w:val="20"/>
  </w:num>
  <w:num w:numId="24" w16cid:durableId="1581451535">
    <w:abstractNumId w:val="10"/>
  </w:num>
  <w:num w:numId="25" w16cid:durableId="1754938255">
    <w:abstractNumId w:val="13"/>
  </w:num>
  <w:num w:numId="26" w16cid:durableId="1013340051">
    <w:abstractNumId w:val="24"/>
  </w:num>
  <w:num w:numId="27" w16cid:durableId="88830118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73"/>
    <w:rsid w:val="000017AE"/>
    <w:rsid w:val="00001E7A"/>
    <w:rsid w:val="000031BB"/>
    <w:rsid w:val="000055D4"/>
    <w:rsid w:val="00010851"/>
    <w:rsid w:val="00010D69"/>
    <w:rsid w:val="00012958"/>
    <w:rsid w:val="000138AF"/>
    <w:rsid w:val="00013B52"/>
    <w:rsid w:val="000159E0"/>
    <w:rsid w:val="00016269"/>
    <w:rsid w:val="0001795D"/>
    <w:rsid w:val="000210D8"/>
    <w:rsid w:val="00021E90"/>
    <w:rsid w:val="000243E6"/>
    <w:rsid w:val="00024973"/>
    <w:rsid w:val="00024EED"/>
    <w:rsid w:val="00026504"/>
    <w:rsid w:val="00026992"/>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29B1"/>
    <w:rsid w:val="00063821"/>
    <w:rsid w:val="000670B1"/>
    <w:rsid w:val="00067C5F"/>
    <w:rsid w:val="00070BB3"/>
    <w:rsid w:val="000747B4"/>
    <w:rsid w:val="00077243"/>
    <w:rsid w:val="00083F92"/>
    <w:rsid w:val="000869FE"/>
    <w:rsid w:val="00096052"/>
    <w:rsid w:val="00096F20"/>
    <w:rsid w:val="000A06C8"/>
    <w:rsid w:val="000A07D7"/>
    <w:rsid w:val="000A0889"/>
    <w:rsid w:val="000A09C6"/>
    <w:rsid w:val="000A2C96"/>
    <w:rsid w:val="000A2E17"/>
    <w:rsid w:val="000A49E3"/>
    <w:rsid w:val="000B0305"/>
    <w:rsid w:val="000B178C"/>
    <w:rsid w:val="000B181D"/>
    <w:rsid w:val="000B62B5"/>
    <w:rsid w:val="000C021F"/>
    <w:rsid w:val="000C259F"/>
    <w:rsid w:val="000C377A"/>
    <w:rsid w:val="000C4A37"/>
    <w:rsid w:val="000C4B11"/>
    <w:rsid w:val="000D2757"/>
    <w:rsid w:val="000D4E1A"/>
    <w:rsid w:val="000D61C8"/>
    <w:rsid w:val="000D7A42"/>
    <w:rsid w:val="000D7D87"/>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20F2"/>
    <w:rsid w:val="00124CDD"/>
    <w:rsid w:val="00125150"/>
    <w:rsid w:val="001252BF"/>
    <w:rsid w:val="001273C5"/>
    <w:rsid w:val="00131B14"/>
    <w:rsid w:val="00132474"/>
    <w:rsid w:val="001326C2"/>
    <w:rsid w:val="0013327E"/>
    <w:rsid w:val="00135B36"/>
    <w:rsid w:val="00136BBC"/>
    <w:rsid w:val="001417BD"/>
    <w:rsid w:val="001450B6"/>
    <w:rsid w:val="001470B0"/>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2680"/>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1F64C2"/>
    <w:rsid w:val="00200D20"/>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1C70"/>
    <w:rsid w:val="00232121"/>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37B"/>
    <w:rsid w:val="0026182E"/>
    <w:rsid w:val="002623BE"/>
    <w:rsid w:val="002629BE"/>
    <w:rsid w:val="0026417C"/>
    <w:rsid w:val="00266DF9"/>
    <w:rsid w:val="0027313B"/>
    <w:rsid w:val="002742CF"/>
    <w:rsid w:val="00276F9F"/>
    <w:rsid w:val="0028015F"/>
    <w:rsid w:val="00281939"/>
    <w:rsid w:val="00283316"/>
    <w:rsid w:val="00283702"/>
    <w:rsid w:val="00283D59"/>
    <w:rsid w:val="002841AB"/>
    <w:rsid w:val="00284372"/>
    <w:rsid w:val="002848F0"/>
    <w:rsid w:val="00285B57"/>
    <w:rsid w:val="00287102"/>
    <w:rsid w:val="00287AA8"/>
    <w:rsid w:val="00287CD4"/>
    <w:rsid w:val="00291546"/>
    <w:rsid w:val="00292641"/>
    <w:rsid w:val="00292E19"/>
    <w:rsid w:val="00295CE3"/>
    <w:rsid w:val="002A2BEF"/>
    <w:rsid w:val="002A3002"/>
    <w:rsid w:val="002B01C3"/>
    <w:rsid w:val="002B187C"/>
    <w:rsid w:val="002C3499"/>
    <w:rsid w:val="002C3E4C"/>
    <w:rsid w:val="002C41F0"/>
    <w:rsid w:val="002C4373"/>
    <w:rsid w:val="002C5D1C"/>
    <w:rsid w:val="002C75FC"/>
    <w:rsid w:val="002C7725"/>
    <w:rsid w:val="002D0B3A"/>
    <w:rsid w:val="002D2205"/>
    <w:rsid w:val="002D26FB"/>
    <w:rsid w:val="002D2C51"/>
    <w:rsid w:val="002D5D38"/>
    <w:rsid w:val="002D70AB"/>
    <w:rsid w:val="002D75AD"/>
    <w:rsid w:val="002E1F5B"/>
    <w:rsid w:val="002E1FA8"/>
    <w:rsid w:val="002E34E8"/>
    <w:rsid w:val="002E4FE6"/>
    <w:rsid w:val="002E5F4D"/>
    <w:rsid w:val="002E748D"/>
    <w:rsid w:val="002F0246"/>
    <w:rsid w:val="002F08A3"/>
    <w:rsid w:val="002F0A22"/>
    <w:rsid w:val="002F239E"/>
    <w:rsid w:val="002F2B12"/>
    <w:rsid w:val="002F2CD2"/>
    <w:rsid w:val="002F38E2"/>
    <w:rsid w:val="002F3C1B"/>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60A1"/>
    <w:rsid w:val="003616B0"/>
    <w:rsid w:val="00362CE5"/>
    <w:rsid w:val="00365074"/>
    <w:rsid w:val="00365844"/>
    <w:rsid w:val="0036602E"/>
    <w:rsid w:val="00367F37"/>
    <w:rsid w:val="003739E5"/>
    <w:rsid w:val="003768E8"/>
    <w:rsid w:val="003815C1"/>
    <w:rsid w:val="0038278D"/>
    <w:rsid w:val="0038291F"/>
    <w:rsid w:val="00384270"/>
    <w:rsid w:val="003842AB"/>
    <w:rsid w:val="003857A1"/>
    <w:rsid w:val="00387EBD"/>
    <w:rsid w:val="00391900"/>
    <w:rsid w:val="003931F4"/>
    <w:rsid w:val="003939D3"/>
    <w:rsid w:val="00395B17"/>
    <w:rsid w:val="00395DD4"/>
    <w:rsid w:val="00397BEF"/>
    <w:rsid w:val="003A0ADE"/>
    <w:rsid w:val="003A1991"/>
    <w:rsid w:val="003A3662"/>
    <w:rsid w:val="003A393C"/>
    <w:rsid w:val="003A42CC"/>
    <w:rsid w:val="003A5555"/>
    <w:rsid w:val="003A6086"/>
    <w:rsid w:val="003A7094"/>
    <w:rsid w:val="003A72CF"/>
    <w:rsid w:val="003B25BA"/>
    <w:rsid w:val="003B4284"/>
    <w:rsid w:val="003B4A00"/>
    <w:rsid w:val="003B7A32"/>
    <w:rsid w:val="003C0AAC"/>
    <w:rsid w:val="003C2291"/>
    <w:rsid w:val="003C43C1"/>
    <w:rsid w:val="003C7412"/>
    <w:rsid w:val="003C7DED"/>
    <w:rsid w:val="003D0365"/>
    <w:rsid w:val="003D16D7"/>
    <w:rsid w:val="003D1F96"/>
    <w:rsid w:val="003D296F"/>
    <w:rsid w:val="003D4796"/>
    <w:rsid w:val="003E1BA4"/>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6641"/>
    <w:rsid w:val="00407A5A"/>
    <w:rsid w:val="004135B2"/>
    <w:rsid w:val="00413A1C"/>
    <w:rsid w:val="004153F9"/>
    <w:rsid w:val="004163B5"/>
    <w:rsid w:val="00417454"/>
    <w:rsid w:val="00423210"/>
    <w:rsid w:val="004233C0"/>
    <w:rsid w:val="00433E87"/>
    <w:rsid w:val="00434824"/>
    <w:rsid w:val="00434D8A"/>
    <w:rsid w:val="00445886"/>
    <w:rsid w:val="00450334"/>
    <w:rsid w:val="004511D5"/>
    <w:rsid w:val="00451ABC"/>
    <w:rsid w:val="00452CA4"/>
    <w:rsid w:val="0045371F"/>
    <w:rsid w:val="00454FF3"/>
    <w:rsid w:val="004554EA"/>
    <w:rsid w:val="00460D9F"/>
    <w:rsid w:val="004623DA"/>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4BEF"/>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D9B"/>
    <w:rsid w:val="004D5F6A"/>
    <w:rsid w:val="004D603C"/>
    <w:rsid w:val="004E2D9F"/>
    <w:rsid w:val="004E4CB9"/>
    <w:rsid w:val="004E6D88"/>
    <w:rsid w:val="004F0F9D"/>
    <w:rsid w:val="004F3F5B"/>
    <w:rsid w:val="004F7042"/>
    <w:rsid w:val="004F724A"/>
    <w:rsid w:val="004F77CA"/>
    <w:rsid w:val="00505218"/>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4F5A"/>
    <w:rsid w:val="005659D9"/>
    <w:rsid w:val="00565E34"/>
    <w:rsid w:val="00573734"/>
    <w:rsid w:val="005740D5"/>
    <w:rsid w:val="00574920"/>
    <w:rsid w:val="0057561A"/>
    <w:rsid w:val="00576223"/>
    <w:rsid w:val="00577C9B"/>
    <w:rsid w:val="0059178A"/>
    <w:rsid w:val="005944F0"/>
    <w:rsid w:val="00595BC4"/>
    <w:rsid w:val="00597962"/>
    <w:rsid w:val="005A0001"/>
    <w:rsid w:val="005A0FCC"/>
    <w:rsid w:val="005A1B66"/>
    <w:rsid w:val="005A1BCD"/>
    <w:rsid w:val="005A2D1B"/>
    <w:rsid w:val="005A35A6"/>
    <w:rsid w:val="005A35B7"/>
    <w:rsid w:val="005A3AC9"/>
    <w:rsid w:val="005A5FCD"/>
    <w:rsid w:val="005A6B8F"/>
    <w:rsid w:val="005A7BF4"/>
    <w:rsid w:val="005B09BE"/>
    <w:rsid w:val="005B0BB4"/>
    <w:rsid w:val="005B593D"/>
    <w:rsid w:val="005B5FC2"/>
    <w:rsid w:val="005C1D42"/>
    <w:rsid w:val="005C4602"/>
    <w:rsid w:val="005C4A8E"/>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5F362A"/>
    <w:rsid w:val="005F366B"/>
    <w:rsid w:val="005F6254"/>
    <w:rsid w:val="00600114"/>
    <w:rsid w:val="00601B93"/>
    <w:rsid w:val="00601DBE"/>
    <w:rsid w:val="00605A83"/>
    <w:rsid w:val="0061034E"/>
    <w:rsid w:val="00610E54"/>
    <w:rsid w:val="00611355"/>
    <w:rsid w:val="006116FA"/>
    <w:rsid w:val="0061249E"/>
    <w:rsid w:val="006125D7"/>
    <w:rsid w:val="00614C33"/>
    <w:rsid w:val="00616CF4"/>
    <w:rsid w:val="00620098"/>
    <w:rsid w:val="0062672B"/>
    <w:rsid w:val="0062675C"/>
    <w:rsid w:val="00627C9D"/>
    <w:rsid w:val="0063395F"/>
    <w:rsid w:val="00635211"/>
    <w:rsid w:val="006353A0"/>
    <w:rsid w:val="00636344"/>
    <w:rsid w:val="006368F9"/>
    <w:rsid w:val="00642F1E"/>
    <w:rsid w:val="00642FFB"/>
    <w:rsid w:val="00643DDC"/>
    <w:rsid w:val="006445E6"/>
    <w:rsid w:val="00645230"/>
    <w:rsid w:val="006462C8"/>
    <w:rsid w:val="006466AF"/>
    <w:rsid w:val="00646A03"/>
    <w:rsid w:val="00646D7A"/>
    <w:rsid w:val="00646FA5"/>
    <w:rsid w:val="00650CD2"/>
    <w:rsid w:val="006528C9"/>
    <w:rsid w:val="0065528D"/>
    <w:rsid w:val="00655413"/>
    <w:rsid w:val="0065587A"/>
    <w:rsid w:val="0065671E"/>
    <w:rsid w:val="006568C7"/>
    <w:rsid w:val="00661813"/>
    <w:rsid w:val="00661920"/>
    <w:rsid w:val="00663C19"/>
    <w:rsid w:val="0066651F"/>
    <w:rsid w:val="006672B8"/>
    <w:rsid w:val="00673096"/>
    <w:rsid w:val="006738F0"/>
    <w:rsid w:val="006810F9"/>
    <w:rsid w:val="0068129E"/>
    <w:rsid w:val="006835A0"/>
    <w:rsid w:val="00684BBF"/>
    <w:rsid w:val="00685936"/>
    <w:rsid w:val="006872C0"/>
    <w:rsid w:val="00690194"/>
    <w:rsid w:val="006912D3"/>
    <w:rsid w:val="006948B3"/>
    <w:rsid w:val="00694C93"/>
    <w:rsid w:val="0069501F"/>
    <w:rsid w:val="00695279"/>
    <w:rsid w:val="006955A0"/>
    <w:rsid w:val="006968E3"/>
    <w:rsid w:val="00696E55"/>
    <w:rsid w:val="00697519"/>
    <w:rsid w:val="006A25FE"/>
    <w:rsid w:val="006A3A6E"/>
    <w:rsid w:val="006A4557"/>
    <w:rsid w:val="006A4DC0"/>
    <w:rsid w:val="006B1AFC"/>
    <w:rsid w:val="006B35A1"/>
    <w:rsid w:val="006B4853"/>
    <w:rsid w:val="006B4C87"/>
    <w:rsid w:val="006B6218"/>
    <w:rsid w:val="006C1271"/>
    <w:rsid w:val="006C2DF1"/>
    <w:rsid w:val="006C32E8"/>
    <w:rsid w:val="006C66A6"/>
    <w:rsid w:val="006D30B7"/>
    <w:rsid w:val="006D4F10"/>
    <w:rsid w:val="006D5080"/>
    <w:rsid w:val="006D5699"/>
    <w:rsid w:val="006E1F0B"/>
    <w:rsid w:val="006E5AC4"/>
    <w:rsid w:val="006E5B70"/>
    <w:rsid w:val="006E7774"/>
    <w:rsid w:val="006E786E"/>
    <w:rsid w:val="006F1B27"/>
    <w:rsid w:val="006F6B4C"/>
    <w:rsid w:val="00700646"/>
    <w:rsid w:val="00700BF1"/>
    <w:rsid w:val="007012DF"/>
    <w:rsid w:val="00706908"/>
    <w:rsid w:val="007115E1"/>
    <w:rsid w:val="0071440E"/>
    <w:rsid w:val="0071469C"/>
    <w:rsid w:val="00715677"/>
    <w:rsid w:val="007173F6"/>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55984"/>
    <w:rsid w:val="00760099"/>
    <w:rsid w:val="00764EAB"/>
    <w:rsid w:val="00766822"/>
    <w:rsid w:val="00767C6C"/>
    <w:rsid w:val="00770206"/>
    <w:rsid w:val="00772A54"/>
    <w:rsid w:val="00775061"/>
    <w:rsid w:val="0077748E"/>
    <w:rsid w:val="00782B24"/>
    <w:rsid w:val="00785918"/>
    <w:rsid w:val="00792C27"/>
    <w:rsid w:val="00793193"/>
    <w:rsid w:val="00793EC8"/>
    <w:rsid w:val="00794511"/>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0EE"/>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97B"/>
    <w:rsid w:val="007F6BDB"/>
    <w:rsid w:val="007F748D"/>
    <w:rsid w:val="00801702"/>
    <w:rsid w:val="00801F8F"/>
    <w:rsid w:val="00803E96"/>
    <w:rsid w:val="00804842"/>
    <w:rsid w:val="00807062"/>
    <w:rsid w:val="008071AB"/>
    <w:rsid w:val="0080795D"/>
    <w:rsid w:val="008118D0"/>
    <w:rsid w:val="00811E7F"/>
    <w:rsid w:val="008124B6"/>
    <w:rsid w:val="00812580"/>
    <w:rsid w:val="00821025"/>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2C3A"/>
    <w:rsid w:val="008542C2"/>
    <w:rsid w:val="008562E7"/>
    <w:rsid w:val="008563EE"/>
    <w:rsid w:val="00857C5C"/>
    <w:rsid w:val="008620C1"/>
    <w:rsid w:val="00862D18"/>
    <w:rsid w:val="00863E6B"/>
    <w:rsid w:val="00874D3A"/>
    <w:rsid w:val="00875B2C"/>
    <w:rsid w:val="008766CE"/>
    <w:rsid w:val="00876D01"/>
    <w:rsid w:val="00876FBF"/>
    <w:rsid w:val="00880B18"/>
    <w:rsid w:val="00880B31"/>
    <w:rsid w:val="0088165C"/>
    <w:rsid w:val="00881924"/>
    <w:rsid w:val="008825F5"/>
    <w:rsid w:val="00883471"/>
    <w:rsid w:val="00883DBD"/>
    <w:rsid w:val="008847C1"/>
    <w:rsid w:val="00884818"/>
    <w:rsid w:val="00886D42"/>
    <w:rsid w:val="008935B5"/>
    <w:rsid w:val="008941D0"/>
    <w:rsid w:val="0089467E"/>
    <w:rsid w:val="00897169"/>
    <w:rsid w:val="008A06F8"/>
    <w:rsid w:val="008A150E"/>
    <w:rsid w:val="008A2489"/>
    <w:rsid w:val="008A440E"/>
    <w:rsid w:val="008A44D0"/>
    <w:rsid w:val="008A491F"/>
    <w:rsid w:val="008A7226"/>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2FCF"/>
    <w:rsid w:val="008D3626"/>
    <w:rsid w:val="008D5755"/>
    <w:rsid w:val="008D5EA9"/>
    <w:rsid w:val="008D6C60"/>
    <w:rsid w:val="008D6FD9"/>
    <w:rsid w:val="008E06BF"/>
    <w:rsid w:val="008E0DEB"/>
    <w:rsid w:val="008E0E71"/>
    <w:rsid w:val="008E3973"/>
    <w:rsid w:val="008E5613"/>
    <w:rsid w:val="008E6603"/>
    <w:rsid w:val="008E69E6"/>
    <w:rsid w:val="008F2AB2"/>
    <w:rsid w:val="008F350A"/>
    <w:rsid w:val="00900AB0"/>
    <w:rsid w:val="00900F9F"/>
    <w:rsid w:val="009033BD"/>
    <w:rsid w:val="00904039"/>
    <w:rsid w:val="009040B4"/>
    <w:rsid w:val="0090795E"/>
    <w:rsid w:val="00910401"/>
    <w:rsid w:val="00911A34"/>
    <w:rsid w:val="00912683"/>
    <w:rsid w:val="00912B69"/>
    <w:rsid w:val="00912DD1"/>
    <w:rsid w:val="00920E49"/>
    <w:rsid w:val="0092332B"/>
    <w:rsid w:val="00926553"/>
    <w:rsid w:val="00930653"/>
    <w:rsid w:val="00932E1F"/>
    <w:rsid w:val="009337EB"/>
    <w:rsid w:val="00933FE2"/>
    <w:rsid w:val="0093403C"/>
    <w:rsid w:val="00935387"/>
    <w:rsid w:val="0094274F"/>
    <w:rsid w:val="009434B7"/>
    <w:rsid w:val="00944A06"/>
    <w:rsid w:val="00944C30"/>
    <w:rsid w:val="00945652"/>
    <w:rsid w:val="0094720E"/>
    <w:rsid w:val="009506BB"/>
    <w:rsid w:val="00953CAC"/>
    <w:rsid w:val="00955571"/>
    <w:rsid w:val="0096063F"/>
    <w:rsid w:val="009628AD"/>
    <w:rsid w:val="00962DA1"/>
    <w:rsid w:val="0096541E"/>
    <w:rsid w:val="00965F42"/>
    <w:rsid w:val="00967BC8"/>
    <w:rsid w:val="009746FC"/>
    <w:rsid w:val="00974881"/>
    <w:rsid w:val="00975227"/>
    <w:rsid w:val="00980033"/>
    <w:rsid w:val="0098122F"/>
    <w:rsid w:val="00990684"/>
    <w:rsid w:val="0099081D"/>
    <w:rsid w:val="00992F4F"/>
    <w:rsid w:val="00993223"/>
    <w:rsid w:val="009940F3"/>
    <w:rsid w:val="00994774"/>
    <w:rsid w:val="009953A8"/>
    <w:rsid w:val="00996A8E"/>
    <w:rsid w:val="009A03C6"/>
    <w:rsid w:val="009A19C2"/>
    <w:rsid w:val="009A3674"/>
    <w:rsid w:val="009A37D5"/>
    <w:rsid w:val="009A683D"/>
    <w:rsid w:val="009B1A0A"/>
    <w:rsid w:val="009B1F92"/>
    <w:rsid w:val="009B44C9"/>
    <w:rsid w:val="009B5929"/>
    <w:rsid w:val="009C1A6D"/>
    <w:rsid w:val="009C55EA"/>
    <w:rsid w:val="009C565D"/>
    <w:rsid w:val="009D0070"/>
    <w:rsid w:val="009D0FD1"/>
    <w:rsid w:val="009D1A61"/>
    <w:rsid w:val="009D1E59"/>
    <w:rsid w:val="009D3FEB"/>
    <w:rsid w:val="009D7B95"/>
    <w:rsid w:val="009E0BD1"/>
    <w:rsid w:val="009E2BDB"/>
    <w:rsid w:val="009E417E"/>
    <w:rsid w:val="009E52EF"/>
    <w:rsid w:val="009E5947"/>
    <w:rsid w:val="009E761C"/>
    <w:rsid w:val="009F26C0"/>
    <w:rsid w:val="009F308A"/>
    <w:rsid w:val="009F3C14"/>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45E64"/>
    <w:rsid w:val="00A471F2"/>
    <w:rsid w:val="00A509D3"/>
    <w:rsid w:val="00A51734"/>
    <w:rsid w:val="00A51AD4"/>
    <w:rsid w:val="00A53E76"/>
    <w:rsid w:val="00A56B9D"/>
    <w:rsid w:val="00A5708C"/>
    <w:rsid w:val="00A57789"/>
    <w:rsid w:val="00A639B8"/>
    <w:rsid w:val="00A6633B"/>
    <w:rsid w:val="00A6651F"/>
    <w:rsid w:val="00A66710"/>
    <w:rsid w:val="00A67B1E"/>
    <w:rsid w:val="00A72005"/>
    <w:rsid w:val="00A73005"/>
    <w:rsid w:val="00A75733"/>
    <w:rsid w:val="00A75B0D"/>
    <w:rsid w:val="00A76292"/>
    <w:rsid w:val="00A76DC6"/>
    <w:rsid w:val="00A803C5"/>
    <w:rsid w:val="00A80DB1"/>
    <w:rsid w:val="00A80EB7"/>
    <w:rsid w:val="00A842C0"/>
    <w:rsid w:val="00A84D38"/>
    <w:rsid w:val="00A91BA4"/>
    <w:rsid w:val="00A93914"/>
    <w:rsid w:val="00A96FA1"/>
    <w:rsid w:val="00AA400A"/>
    <w:rsid w:val="00AA45F8"/>
    <w:rsid w:val="00AB025E"/>
    <w:rsid w:val="00AB048F"/>
    <w:rsid w:val="00AB4ACE"/>
    <w:rsid w:val="00AB4C79"/>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1F6C"/>
    <w:rsid w:val="00AF5F4E"/>
    <w:rsid w:val="00B0026D"/>
    <w:rsid w:val="00B01AE9"/>
    <w:rsid w:val="00B036EA"/>
    <w:rsid w:val="00B039CA"/>
    <w:rsid w:val="00B03EA3"/>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3D7C"/>
    <w:rsid w:val="00B470DA"/>
    <w:rsid w:val="00B51AC8"/>
    <w:rsid w:val="00B520CF"/>
    <w:rsid w:val="00B52269"/>
    <w:rsid w:val="00B54217"/>
    <w:rsid w:val="00B573B1"/>
    <w:rsid w:val="00B614A3"/>
    <w:rsid w:val="00B64711"/>
    <w:rsid w:val="00B65755"/>
    <w:rsid w:val="00B658CD"/>
    <w:rsid w:val="00B66945"/>
    <w:rsid w:val="00B70127"/>
    <w:rsid w:val="00B712B3"/>
    <w:rsid w:val="00B71F5A"/>
    <w:rsid w:val="00B72109"/>
    <w:rsid w:val="00B74969"/>
    <w:rsid w:val="00B74A19"/>
    <w:rsid w:val="00B75868"/>
    <w:rsid w:val="00B77E61"/>
    <w:rsid w:val="00B80711"/>
    <w:rsid w:val="00B80DD2"/>
    <w:rsid w:val="00B84C3C"/>
    <w:rsid w:val="00B868B3"/>
    <w:rsid w:val="00B876DB"/>
    <w:rsid w:val="00B93002"/>
    <w:rsid w:val="00B94E50"/>
    <w:rsid w:val="00B95309"/>
    <w:rsid w:val="00B97B9C"/>
    <w:rsid w:val="00BA078F"/>
    <w:rsid w:val="00BA2CB8"/>
    <w:rsid w:val="00BA2EE9"/>
    <w:rsid w:val="00BA4CD9"/>
    <w:rsid w:val="00BA5EAE"/>
    <w:rsid w:val="00BB1EA5"/>
    <w:rsid w:val="00BB4AFE"/>
    <w:rsid w:val="00BB7BE8"/>
    <w:rsid w:val="00BC02FA"/>
    <w:rsid w:val="00BC0A72"/>
    <w:rsid w:val="00BC0CD6"/>
    <w:rsid w:val="00BC2466"/>
    <w:rsid w:val="00BC579A"/>
    <w:rsid w:val="00BC661C"/>
    <w:rsid w:val="00BC7EBD"/>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24B2"/>
    <w:rsid w:val="00C03FBA"/>
    <w:rsid w:val="00C07867"/>
    <w:rsid w:val="00C103A5"/>
    <w:rsid w:val="00C10BA8"/>
    <w:rsid w:val="00C122AF"/>
    <w:rsid w:val="00C1246C"/>
    <w:rsid w:val="00C12668"/>
    <w:rsid w:val="00C13A95"/>
    <w:rsid w:val="00C14FE6"/>
    <w:rsid w:val="00C15AB0"/>
    <w:rsid w:val="00C16AA8"/>
    <w:rsid w:val="00C173AC"/>
    <w:rsid w:val="00C17C49"/>
    <w:rsid w:val="00C20104"/>
    <w:rsid w:val="00C20D01"/>
    <w:rsid w:val="00C2301E"/>
    <w:rsid w:val="00C23328"/>
    <w:rsid w:val="00C26A0D"/>
    <w:rsid w:val="00C319CA"/>
    <w:rsid w:val="00C3751A"/>
    <w:rsid w:val="00C412FF"/>
    <w:rsid w:val="00C41C42"/>
    <w:rsid w:val="00C41F25"/>
    <w:rsid w:val="00C41F5D"/>
    <w:rsid w:val="00C43336"/>
    <w:rsid w:val="00C44560"/>
    <w:rsid w:val="00C44F82"/>
    <w:rsid w:val="00C45CF0"/>
    <w:rsid w:val="00C47BD5"/>
    <w:rsid w:val="00C504C2"/>
    <w:rsid w:val="00C52ADC"/>
    <w:rsid w:val="00C55187"/>
    <w:rsid w:val="00C56999"/>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5DF8"/>
    <w:rsid w:val="00CC6C44"/>
    <w:rsid w:val="00CD0AA8"/>
    <w:rsid w:val="00CD2217"/>
    <w:rsid w:val="00CD3108"/>
    <w:rsid w:val="00CD3404"/>
    <w:rsid w:val="00CD4E49"/>
    <w:rsid w:val="00CD71D4"/>
    <w:rsid w:val="00CE21D3"/>
    <w:rsid w:val="00CE394E"/>
    <w:rsid w:val="00CE420F"/>
    <w:rsid w:val="00CE4D84"/>
    <w:rsid w:val="00CE60C5"/>
    <w:rsid w:val="00CF0272"/>
    <w:rsid w:val="00CF1E94"/>
    <w:rsid w:val="00CF2858"/>
    <w:rsid w:val="00CF423E"/>
    <w:rsid w:val="00CF4566"/>
    <w:rsid w:val="00D00A75"/>
    <w:rsid w:val="00D00FF2"/>
    <w:rsid w:val="00D02E81"/>
    <w:rsid w:val="00D03821"/>
    <w:rsid w:val="00D10094"/>
    <w:rsid w:val="00D10153"/>
    <w:rsid w:val="00D10395"/>
    <w:rsid w:val="00D121C3"/>
    <w:rsid w:val="00D12634"/>
    <w:rsid w:val="00D1334E"/>
    <w:rsid w:val="00D14BE7"/>
    <w:rsid w:val="00D16C60"/>
    <w:rsid w:val="00D1720D"/>
    <w:rsid w:val="00D17B1A"/>
    <w:rsid w:val="00D209D5"/>
    <w:rsid w:val="00D20D87"/>
    <w:rsid w:val="00D2282F"/>
    <w:rsid w:val="00D22A4E"/>
    <w:rsid w:val="00D24556"/>
    <w:rsid w:val="00D26A00"/>
    <w:rsid w:val="00D27158"/>
    <w:rsid w:val="00D2747B"/>
    <w:rsid w:val="00D2758B"/>
    <w:rsid w:val="00D27AF4"/>
    <w:rsid w:val="00D35365"/>
    <w:rsid w:val="00D3714A"/>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0326"/>
    <w:rsid w:val="00DA2645"/>
    <w:rsid w:val="00DA537A"/>
    <w:rsid w:val="00DA5A0B"/>
    <w:rsid w:val="00DB049C"/>
    <w:rsid w:val="00DB16C0"/>
    <w:rsid w:val="00DB2F86"/>
    <w:rsid w:val="00DB500B"/>
    <w:rsid w:val="00DB7D85"/>
    <w:rsid w:val="00DC0304"/>
    <w:rsid w:val="00DC1FD8"/>
    <w:rsid w:val="00DC227D"/>
    <w:rsid w:val="00DC2719"/>
    <w:rsid w:val="00DC3BE3"/>
    <w:rsid w:val="00DD342E"/>
    <w:rsid w:val="00DD60E7"/>
    <w:rsid w:val="00DD6767"/>
    <w:rsid w:val="00DE1E42"/>
    <w:rsid w:val="00DE1F08"/>
    <w:rsid w:val="00DE3999"/>
    <w:rsid w:val="00DE416A"/>
    <w:rsid w:val="00DE76BB"/>
    <w:rsid w:val="00DE76F0"/>
    <w:rsid w:val="00DE7919"/>
    <w:rsid w:val="00DF0241"/>
    <w:rsid w:val="00DF071B"/>
    <w:rsid w:val="00DF1A7E"/>
    <w:rsid w:val="00DF27D7"/>
    <w:rsid w:val="00DF450E"/>
    <w:rsid w:val="00DF649F"/>
    <w:rsid w:val="00E00C8A"/>
    <w:rsid w:val="00E01986"/>
    <w:rsid w:val="00E01FCC"/>
    <w:rsid w:val="00E040C6"/>
    <w:rsid w:val="00E04E50"/>
    <w:rsid w:val="00E07A62"/>
    <w:rsid w:val="00E11A71"/>
    <w:rsid w:val="00E157A5"/>
    <w:rsid w:val="00E2494E"/>
    <w:rsid w:val="00E25D0B"/>
    <w:rsid w:val="00E27B9E"/>
    <w:rsid w:val="00E33504"/>
    <w:rsid w:val="00E33DED"/>
    <w:rsid w:val="00E34982"/>
    <w:rsid w:val="00E3623C"/>
    <w:rsid w:val="00E37BF1"/>
    <w:rsid w:val="00E43E76"/>
    <w:rsid w:val="00E44349"/>
    <w:rsid w:val="00E544D1"/>
    <w:rsid w:val="00E602B9"/>
    <w:rsid w:val="00E6081B"/>
    <w:rsid w:val="00E6112B"/>
    <w:rsid w:val="00E640D3"/>
    <w:rsid w:val="00E65843"/>
    <w:rsid w:val="00E70B37"/>
    <w:rsid w:val="00E72D41"/>
    <w:rsid w:val="00E73A68"/>
    <w:rsid w:val="00E742A1"/>
    <w:rsid w:val="00E746AA"/>
    <w:rsid w:val="00E74B07"/>
    <w:rsid w:val="00E802A7"/>
    <w:rsid w:val="00E815F9"/>
    <w:rsid w:val="00E819C7"/>
    <w:rsid w:val="00E82872"/>
    <w:rsid w:val="00E859FE"/>
    <w:rsid w:val="00E862D0"/>
    <w:rsid w:val="00E86ADB"/>
    <w:rsid w:val="00E91B13"/>
    <w:rsid w:val="00E924AC"/>
    <w:rsid w:val="00E93CA1"/>
    <w:rsid w:val="00E9437E"/>
    <w:rsid w:val="00E95B04"/>
    <w:rsid w:val="00E9678C"/>
    <w:rsid w:val="00E97655"/>
    <w:rsid w:val="00E97EEE"/>
    <w:rsid w:val="00E97FAE"/>
    <w:rsid w:val="00EA1D8F"/>
    <w:rsid w:val="00EA4197"/>
    <w:rsid w:val="00EB1FFC"/>
    <w:rsid w:val="00EB209D"/>
    <w:rsid w:val="00EB323D"/>
    <w:rsid w:val="00EB3DDE"/>
    <w:rsid w:val="00EB3FBA"/>
    <w:rsid w:val="00EB5B27"/>
    <w:rsid w:val="00EC5782"/>
    <w:rsid w:val="00EC5D45"/>
    <w:rsid w:val="00EC5DAC"/>
    <w:rsid w:val="00EC7073"/>
    <w:rsid w:val="00ED1DE9"/>
    <w:rsid w:val="00ED1FD5"/>
    <w:rsid w:val="00ED4AE2"/>
    <w:rsid w:val="00ED4D4B"/>
    <w:rsid w:val="00ED5E53"/>
    <w:rsid w:val="00ED6853"/>
    <w:rsid w:val="00ED735E"/>
    <w:rsid w:val="00EE5012"/>
    <w:rsid w:val="00EE52CC"/>
    <w:rsid w:val="00EE6E3F"/>
    <w:rsid w:val="00EF11FD"/>
    <w:rsid w:val="00EF460E"/>
    <w:rsid w:val="00EF5372"/>
    <w:rsid w:val="00EF5936"/>
    <w:rsid w:val="00EF5E0B"/>
    <w:rsid w:val="00EF74CF"/>
    <w:rsid w:val="00F017F7"/>
    <w:rsid w:val="00F03033"/>
    <w:rsid w:val="00F03720"/>
    <w:rsid w:val="00F05C50"/>
    <w:rsid w:val="00F05F03"/>
    <w:rsid w:val="00F138D1"/>
    <w:rsid w:val="00F148EB"/>
    <w:rsid w:val="00F14FDC"/>
    <w:rsid w:val="00F1500A"/>
    <w:rsid w:val="00F15770"/>
    <w:rsid w:val="00F15923"/>
    <w:rsid w:val="00F1720B"/>
    <w:rsid w:val="00F177F3"/>
    <w:rsid w:val="00F2031C"/>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3A03"/>
    <w:rsid w:val="00F65380"/>
    <w:rsid w:val="00F653AB"/>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6388"/>
    <w:rsid w:val="00FA70C6"/>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3CB7AF"/>
  <w14:defaultImageDpi w14:val="0"/>
  <w15:docId w15:val="{15D1FD14-03FD-FC4A-96E3-2596C145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E76"/>
    <w:pPr>
      <w:suppressAutoHyphens/>
      <w:spacing w:after="200"/>
    </w:pPr>
    <w:rPr>
      <w:sz w:val="24"/>
    </w:rPr>
  </w:style>
  <w:style w:type="paragraph" w:styleId="Heading1">
    <w:name w:val="heading 1"/>
    <w:basedOn w:val="Normal"/>
    <w:next w:val="Normal"/>
    <w:link w:val="Heading1Char"/>
    <w:uiPriority w:val="9"/>
    <w:qFormat/>
    <w:rsid w:val="007F697B"/>
    <w:pPr>
      <w:keepNext/>
      <w:keepLines/>
      <w:spacing w:after="360" w:line="600" w:lineRule="exact"/>
      <w:outlineLvl w:val="0"/>
    </w:pPr>
    <w:rPr>
      <w:rFonts w:asciiTheme="majorHAnsi" w:eastAsiaTheme="majorEastAsia" w:hAnsiTheme="majorHAnsi" w:cs="Times New Roman (Headings CS)"/>
      <w:b/>
      <w:bCs/>
      <w:sz w:val="40"/>
      <w:szCs w:val="36"/>
      <w:lang w:val="en-GB"/>
    </w:rPr>
  </w:style>
  <w:style w:type="paragraph" w:styleId="Heading2">
    <w:name w:val="heading 2"/>
    <w:basedOn w:val="Normal"/>
    <w:next w:val="Normal"/>
    <w:link w:val="Heading2Char"/>
    <w:uiPriority w:val="9"/>
    <w:unhideWhenUsed/>
    <w:qFormat/>
    <w:rsid w:val="005A35A6"/>
    <w:pPr>
      <w:keepNext/>
      <w:keepLines/>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1AB"/>
    <w:pPr>
      <w:keepNext/>
      <w:spacing w:after="60" w:line="480" w:lineRule="auto"/>
    </w:pPr>
  </w:style>
  <w:style w:type="character" w:customStyle="1" w:styleId="Heading1Char">
    <w:name w:val="Heading 1 Char"/>
    <w:basedOn w:val="DefaultParagraphFont"/>
    <w:link w:val="Heading1"/>
    <w:uiPriority w:val="9"/>
    <w:rsid w:val="007F697B"/>
    <w:rPr>
      <w:rFonts w:asciiTheme="majorHAnsi" w:eastAsiaTheme="majorEastAsia" w:hAnsiTheme="majorHAnsi" w:cs="Times New Roman (Headings CS)"/>
      <w:b/>
      <w:bCs/>
      <w:sz w:val="40"/>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5A35A6"/>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A471F2"/>
    <w:pPr>
      <w:spacing w:before="24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200D20"/>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2841AB"/>
    <w:pPr>
      <w:spacing w:after="24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2C3E4C"/>
    <w:rPr>
      <w:color w:val="605E5C"/>
      <w:shd w:val="clear" w:color="auto" w:fill="E1DFDD"/>
    </w:rPr>
  </w:style>
  <w:style w:type="paragraph" w:customStyle="1" w:styleId="H1Headings">
    <w:name w:val="H1 (Headings)"/>
    <w:basedOn w:val="NoParagraphStyle"/>
    <w:uiPriority w:val="99"/>
    <w:rsid w:val="004623DA"/>
    <w:pPr>
      <w:widowControl/>
      <w:tabs>
        <w:tab w:val="left" w:pos="340"/>
      </w:tabs>
      <w:suppressAutoHyphens/>
      <w:spacing w:before="170" w:after="283" w:line="440" w:lineRule="atLeast"/>
    </w:pPr>
    <w:rPr>
      <w:rFonts w:ascii="VIC Medium" w:hAnsi="VIC Medium" w:cs="VIC Medium"/>
      <w:color w:val="201547"/>
      <w:sz w:val="40"/>
      <w:szCs w:val="40"/>
      <w:lang w:val="en-GB"/>
    </w:rPr>
  </w:style>
  <w:style w:type="paragraph" w:customStyle="1" w:styleId="FigureHeadingFigureCaption">
    <w:name w:val="Figure Heading (Figure/Caption)"/>
    <w:basedOn w:val="NoParagraphStyle"/>
    <w:uiPriority w:val="99"/>
    <w:rsid w:val="009040B4"/>
    <w:pPr>
      <w:widowControl/>
      <w:tabs>
        <w:tab w:val="left" w:pos="255"/>
        <w:tab w:val="left" w:pos="510"/>
      </w:tabs>
      <w:suppressAutoHyphens/>
      <w:spacing w:line="200" w:lineRule="atLeast"/>
    </w:pPr>
    <w:rPr>
      <w:rFonts w:ascii="VIC Medium" w:hAnsi="VIC Medium" w:cs="VIC Medium"/>
      <w:sz w:val="16"/>
      <w:szCs w:val="16"/>
      <w:lang w:val="en-GB"/>
    </w:rPr>
  </w:style>
  <w:style w:type="paragraph" w:customStyle="1" w:styleId="FigureTitleFigureCaption">
    <w:name w:val="Figure Title (Figure/Caption)"/>
    <w:basedOn w:val="NoParagraphStyle"/>
    <w:uiPriority w:val="99"/>
    <w:rsid w:val="008E5613"/>
    <w:pPr>
      <w:widowControl/>
      <w:tabs>
        <w:tab w:val="left" w:pos="340"/>
      </w:tabs>
      <w:suppressAutoHyphens/>
      <w:spacing w:before="227" w:after="28" w:line="260" w:lineRule="atLeast"/>
      <w:jc w:val="center"/>
    </w:pPr>
    <w:rPr>
      <w:rFonts w:ascii="VIC Medium" w:hAnsi="VIC Medium" w:cs="VIC Medium"/>
      <w:color w:val="201547"/>
      <w:sz w:val="22"/>
      <w:szCs w:val="22"/>
      <w:lang w:val="en-GB"/>
    </w:rPr>
  </w:style>
  <w:style w:type="paragraph" w:customStyle="1" w:styleId="TableH1LeftTables">
    <w:name w:val="Table H1_Left (Tables)"/>
    <w:basedOn w:val="NoParagraphStyle"/>
    <w:uiPriority w:val="99"/>
    <w:rsid w:val="007115E1"/>
    <w:pPr>
      <w:widowControl/>
      <w:suppressAutoHyphens/>
      <w:spacing w:after="113" w:line="210" w:lineRule="atLeast"/>
    </w:pPr>
    <w:rPr>
      <w:rFonts w:ascii="VIC Medium" w:hAnsi="VIC Medium" w:cs="VIC Medium"/>
      <w:color w:val="201547"/>
      <w:sz w:val="17"/>
      <w:szCs w:val="17"/>
      <w:lang w:val="en-GB"/>
    </w:rPr>
  </w:style>
  <w:style w:type="character" w:styleId="CommentReference">
    <w:name w:val="annotation reference"/>
    <w:basedOn w:val="DefaultParagraphFont"/>
    <w:uiPriority w:val="99"/>
    <w:semiHidden/>
    <w:unhideWhenUsed/>
    <w:rsid w:val="008542C2"/>
    <w:rPr>
      <w:sz w:val="16"/>
      <w:szCs w:val="16"/>
    </w:rPr>
  </w:style>
  <w:style w:type="paragraph" w:styleId="CommentSubject">
    <w:name w:val="annotation subject"/>
    <w:basedOn w:val="CommentText"/>
    <w:next w:val="CommentText"/>
    <w:link w:val="CommentSubjectChar"/>
    <w:uiPriority w:val="99"/>
    <w:semiHidden/>
    <w:unhideWhenUsed/>
    <w:rsid w:val="008542C2"/>
    <w:rPr>
      <w:b/>
      <w:bCs/>
    </w:rPr>
  </w:style>
  <w:style w:type="character" w:customStyle="1" w:styleId="CommentSubjectChar">
    <w:name w:val="Comment Subject Char"/>
    <w:basedOn w:val="CommentTextChar"/>
    <w:link w:val="CommentSubject"/>
    <w:uiPriority w:val="99"/>
    <w:semiHidden/>
    <w:rsid w:val="008542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imatechange.vic.gov.au/victorias-changing-climate" TargetMode="External"/><Relationship Id="rId18" Type="http://schemas.openxmlformats.org/officeDocument/2006/relationships/image" Target="media/image5.png"/><Relationship Id="rId26" Type="http://schemas.openxmlformats.org/officeDocument/2006/relationships/hyperlink" Target="https://www.climatechange.vic.gov.au/victorias-changing-climate" TargetMode="External"/><Relationship Id="rId39" Type="http://schemas.openxmlformats.org/officeDocument/2006/relationships/hyperlink" Target="http://www.deeca.vic.gov.au/" TargetMode="External"/><Relationship Id="rId21" Type="http://schemas.openxmlformats.org/officeDocument/2006/relationships/footer" Target="footer2.xml"/><Relationship Id="rId34" Type="http://schemas.openxmlformats.org/officeDocument/2006/relationships/hyperlink" Target="https://vicfutureclimatetool.indraweb.io/" TargetMode="External"/><Relationship Id="rId42" Type="http://schemas.openxmlformats.org/officeDocument/2006/relationships/customXml" Target="../customXml/item2.xml"/><Relationship Id="rId47" Type="http://schemas.openxmlformats.org/officeDocument/2006/relationships/customXml" Target="../customXml/item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climatechange.vic.gov.au/victorias-changing-climate/Mallee-Climate-Projections-2019_202002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change.vic.gov.au/victorias-changing-climate/Mallee-Climate-Projections-2019_20200219.pdf" TargetMode="External"/><Relationship Id="rId24" Type="http://schemas.openxmlformats.org/officeDocument/2006/relationships/hyperlink" Target="https://www.climatechange.vic.gov.au/victorias-changing-climate" TargetMode="External"/><Relationship Id="rId32" Type="http://schemas.openxmlformats.org/officeDocument/2006/relationships/hyperlink" Target="https://www.climatechange.vic.gov.au/victorias-changing-climate/VCSR24-Fact-Sheet-3-Using-VCP24.pdf" TargetMode="External"/><Relationship Id="rId37" Type="http://schemas.openxmlformats.org/officeDocument/2006/relationships/hyperlink" Target="https://www.climatechange.vic.gov.au/victorias-changing-climate" TargetMode="External"/><Relationship Id="rId40" Type="http://schemas.openxmlformats.org/officeDocument/2006/relationships/fontTable" Target="fontTable.xml"/><Relationship Id="rId45"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yperlink" Target="https://www.climatechange.vic.gov.au/victorias-changing-climate" TargetMode="External"/><Relationship Id="rId36" Type="http://schemas.openxmlformats.org/officeDocument/2006/relationships/hyperlink" Target="http://creativecommons.org/licenses/by/4.0/" TargetMode="External"/><Relationship Id="rId10" Type="http://schemas.openxmlformats.org/officeDocument/2006/relationships/hyperlink" Target="https://vicfutureclimatetool.indraweb.io/" TargetMode="External"/><Relationship Id="rId19" Type="http://schemas.openxmlformats.org/officeDocument/2006/relationships/image" Target="media/image6.png"/><Relationship Id="rId31" Type="http://schemas.openxmlformats.org/officeDocument/2006/relationships/hyperlink" Target="https://www.climatechange.vic.gov.au/victorias-changing-climate/VCSR24-Fact-sheet-2-Changes-in-rainfall.pdf"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limatechange.vic.gov.au/victorias-changing-climate" TargetMode="External"/><Relationship Id="rId22" Type="http://schemas.openxmlformats.org/officeDocument/2006/relationships/footer" Target="footer3.xml"/><Relationship Id="rId27" Type="http://schemas.openxmlformats.org/officeDocument/2006/relationships/hyperlink" Target="https://hess.copernicus.org/articles/28/1251/2024/" TargetMode="External"/><Relationship Id="rId30" Type="http://schemas.openxmlformats.org/officeDocument/2006/relationships/hyperlink" Target="https://www.climatechange.vic.gov.au/victorias-changing-climate/VCSR24-Factsheet-1-Comparison-VCP24-and-VCP19.pdf" TargetMode="External"/><Relationship Id="rId35" Type="http://schemas.openxmlformats.org/officeDocument/2006/relationships/hyperlink" Target="http://creativecommons.org/licenses/by/4.0/" TargetMode="External"/><Relationship Id="rId43" Type="http://schemas.openxmlformats.org/officeDocument/2006/relationships/customXml" Target="../customXml/item3.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limatechange.vic.gov.au/victorias-changing-climate" TargetMode="External"/><Relationship Id="rId17" Type="http://schemas.openxmlformats.org/officeDocument/2006/relationships/image" Target="media/image4.png"/><Relationship Id="rId25" Type="http://schemas.openxmlformats.org/officeDocument/2006/relationships/hyperlink" Target="https://www.climatechange.vic.gov.au/victorias-changing-climate" TargetMode="External"/><Relationship Id="rId33" Type="http://schemas.openxmlformats.org/officeDocument/2006/relationships/hyperlink" Target="https://www.climatechange.vic.gov.au/__data/assets/pdf_file/0027/732627/Factsheet-4-Unmodelled-futures-and-the-Victorian-Climate-Projections-2024.pdf" TargetMode="External"/><Relationship Id="rId38" Type="http://schemas.openxmlformats.org/officeDocument/2006/relationships/hyperlink" Target="mailto:customer.service@delwp.vic.gov.au" TargetMode="External"/><Relationship Id="rId46" Type="http://schemas.openxmlformats.org/officeDocument/2006/relationships/customXml" Target="../customXml/item6.xml"/><Relationship Id="rId20" Type="http://schemas.openxmlformats.org/officeDocument/2006/relationships/image" Target="media/image7.png"/><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C850083AEEAE441835EBAB16E025AFC" ma:contentTypeVersion="228" ma:contentTypeDescription="All project related information. The library can be used to manage multiple projects." ma:contentTypeScope="" ma:versionID="3e797c33bd0ac49c869acb6637ec83fe">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9103e05c-e9dc-4d7c-bea9-15dc01cc4516" xmlns:ns6="3615366d-a5fc-48c6-8d6a-8810589c7d40" targetNamespace="http://schemas.microsoft.com/office/2006/metadata/properties" ma:root="true" ma:fieldsID="29502f26ef1cb129f537c8f20f22c2d9" ns1:_="" ns2:_="" ns3:_="" ns4:_="" ns5:_="" ns6:_="">
    <xsd:import namespace="http://schemas.microsoft.com/sharepoint/v3"/>
    <xsd:import namespace="9fd47c19-1c4a-4d7d-b342-c10cef269344"/>
    <xsd:import namespace="a5f32de4-e402-4188-b034-e71ca7d22e54"/>
    <xsd:import namespace="05aa45cf-ed89-4733-97a8-db4ce5c51511"/>
    <xsd:import namespace="9103e05c-e9dc-4d7c-bea9-15dc01cc4516"/>
    <xsd:import namespace="3615366d-a5fc-48c6-8d6a-8810589c7d4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oad24ea330c14b619921ce9915d8f97f" minOccurs="0"/>
                <xsd:element ref="ns5:od375ee0cafb41a08f24c51d103bdaba" minOccurs="0"/>
                <xsd:element ref="ns5:MediaServiceDateTaken" minOccurs="0"/>
                <xsd:element ref="ns5:MediaLengthInSeconds" minOccurs="0"/>
                <xsd:element ref="ns5:lcf76f155ced4ddcb4097134ff3c332f" minOccurs="0"/>
                <xsd:element ref="ns5:MediaServiceGenerationTime" minOccurs="0"/>
                <xsd:element ref="ns5:MediaServiceEventHashCode" minOccurs="0"/>
                <xsd:element ref="ns5:MediaServiceOCR"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8"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2"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f2ccc2d036544b63b99cbcec8aa9ae6a" ma:index="16"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3e05c-e9dc-4d7c-bea9-15dc01cc451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oad24ea330c14b619921ce9915d8f97f" ma:index="30" nillable="true" ma:taxonomy="true" ma:internalName="oad24ea330c14b619921ce9915d8f97f" ma:taxonomyFieldName="Project" ma:displayName="Project" ma:default="" ma:fieldId="{8ad24ea3-30c1-4b61-9921-ce9915d8f97f}" ma:sspId="797aeec6-0273-40f2-ab3e-beee73212332" ma:termSetId="b4fe74eb-d781-4b0f-a1a6-2838f736aaae" ma:anchorId="00000000-0000-0000-0000-000000000000" ma:open="true" ma:isKeyword="false">
      <xsd:complexType>
        <xsd:sequence>
          <xsd:element ref="pc:Terms" minOccurs="0" maxOccurs="1"/>
        </xsd:sequence>
      </xsd:complexType>
    </xsd:element>
    <xsd:element name="od375ee0cafb41a08f24c51d103bdaba" ma:index="32" nillable="true" ma:taxonomy="true" ma:internalName="od375ee0cafb41a08f24c51d103bdaba" ma:taxonomyFieldName="Document_x0020_Purpose" ma:displayName="Purpose" ma:default="" ma:fieldId="{8d375ee0-cafb-41a0-8f24-c51d103bdaba}" ma:sspId="797aeec6-0273-40f2-ab3e-beee73212332" ma:termSetId="75b2235f-8b18-461d-b7d8-139e6bc8849a" ma:anchorId="00000000-0000-0000-0000-000000000000"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Location" ma:index="4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5366d-a5fc-48c6-8d6a-8810589c7d40"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9103e05c-e9dc-4d7c-bea9-15dc01cc4516">
      <Terms xmlns="http://schemas.microsoft.com/office/infopath/2007/PartnerControls"/>
    </lcf76f155ced4ddcb4097134ff3c332f>
    <TaxCatchAll xmlns="9fd47c19-1c4a-4d7d-b342-c10cef269344">
      <Value>259</Value>
      <Value>185</Value>
      <Value>3</Value>
      <Value>2</Value>
      <Value>140</Value>
    </TaxCatchAll>
    <oad24ea330c14b619921ce9915d8f97f xmlns="9103e05c-e9dc-4d7c-bea9-15dc01cc4516">
      <Terms xmlns="http://schemas.microsoft.com/office/infopath/2007/PartnerControls">
        <TermInfo xmlns="http://schemas.microsoft.com/office/infopath/2007/PartnerControls">
          <TermName xmlns="http://schemas.microsoft.com/office/infopath/2007/PartnerControls">Victorian Climate Science Report 2024</TermName>
          <TermId xmlns="http://schemas.microsoft.com/office/infopath/2007/PartnerControls">6e590000-6185-449a-88ac-ccdbc929a0cc</TermId>
        </TermInfo>
      </Terms>
    </oad24ea330c14b619921ce9915d8f97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od375ee0cafb41a08f24c51d103bdaba xmlns="9103e05c-e9dc-4d7c-bea9-15dc01cc4516">
      <Terms xmlns="http://schemas.microsoft.com/office/infopath/2007/PartnerControls">
        <TermInfo xmlns="http://schemas.microsoft.com/office/infopath/2007/PartnerControls">
          <TermName xmlns="http://schemas.microsoft.com/office/infopath/2007/PartnerControls">Regional Reports</TermName>
          <TermId xmlns="http://schemas.microsoft.com/office/infopath/2007/PartnerControls">1539839b-8871-422d-ab9f-e3e2c32c7fd3</TermId>
        </TermInfo>
      </Terms>
    </od375ee0cafb41a08f24c51d103bdaba>
    <DLCPolicyLabelClientValue xmlns="05aa45cf-ed89-4733-97a8-db4ce5c51511" xsi:nil="true"/>
    <DLCPolicyLabelLock xmlns="05aa45cf-ed89-4733-97a8-db4ce5c51511" xsi:nil="true"/>
    <_dlc_DocId xmlns="a5f32de4-e402-4188-b034-e71ca7d22e54">DOCID544-1170666872-4221</_dlc_DocId>
    <_dlc_DocIdUrl xmlns="a5f32de4-e402-4188-b034-e71ca7d22e54">
      <Url>https://delwpvicgovau.sharepoint.com/sites/ecm_544/_layouts/15/DocIdRedir.aspx?ID=DOCID544-1170666872-4221</Url>
      <Description>DOCID544-1170666872-4221</Description>
    </_dlc_DocIdUrl>
    <DLCPolicyLabelValue xmlns="05aa45cf-ed89-4733-97a8-db4ce5c51511">Version 0.3</DLCPolicyLabelValue>
  </documentManagement>
</p:properties>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2.xml><?xml version="1.0" encoding="utf-8"?>
<ds:datastoreItem xmlns:ds="http://schemas.openxmlformats.org/officeDocument/2006/customXml" ds:itemID="{33898352-5089-4C33-B6E1-D98467E0A7ED}"/>
</file>

<file path=customXml/itemProps3.xml><?xml version="1.0" encoding="utf-8"?>
<ds:datastoreItem xmlns:ds="http://schemas.openxmlformats.org/officeDocument/2006/customXml" ds:itemID="{CE8A147C-6293-4EC8-BF78-19B41B8BA0BF}"/>
</file>

<file path=customXml/itemProps4.xml><?xml version="1.0" encoding="utf-8"?>
<ds:datastoreItem xmlns:ds="http://schemas.openxmlformats.org/officeDocument/2006/customXml" ds:itemID="{FC3F7A91-F8DE-49CF-8CE3-2A155B9B1362}"/>
</file>

<file path=customXml/itemProps5.xml><?xml version="1.0" encoding="utf-8"?>
<ds:datastoreItem xmlns:ds="http://schemas.openxmlformats.org/officeDocument/2006/customXml" ds:itemID="{018ECB10-2407-4CF9-9C44-3708DCC35C9A}"/>
</file>

<file path=customXml/itemProps6.xml><?xml version="1.0" encoding="utf-8"?>
<ds:datastoreItem xmlns:ds="http://schemas.openxmlformats.org/officeDocument/2006/customXml" ds:itemID="{BD1E2AFB-E6BF-4D57-9794-FE707E3186B8}"/>
</file>

<file path=customXml/itemProps7.xml><?xml version="1.0" encoding="utf-8"?>
<ds:datastoreItem xmlns:ds="http://schemas.openxmlformats.org/officeDocument/2006/customXml" ds:itemID="{4C11A75A-0071-470D-A0F0-1B42DCFF880D}"/>
</file>

<file path=docProps/app.xml><?xml version="1.0" encoding="utf-8"?>
<Properties xmlns="http://schemas.openxmlformats.org/officeDocument/2006/extended-properties" xmlns:vt="http://schemas.openxmlformats.org/officeDocument/2006/docPropsVTypes">
  <Template>Normal.dotm</Template>
  <TotalTime>29</TotalTime>
  <Pages>22</Pages>
  <Words>4088</Words>
  <Characters>25662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Mallee Climate Projections 2024</vt:lpstr>
    </vt:vector>
  </TitlesOfParts>
  <Manager/>
  <Company>The State of Victoria Department of Energy, Environment and Climate Action </Company>
  <LinksUpToDate>false</LinksUpToDate>
  <CharactersWithSpaces>29691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Mallee Climate Projections 2024</dc:title>
  <dc:subject>Mallee Climate Projections 2024</dc:subject>
  <dc:creator>The State of Victoria Department of Energy, Environment and Climate Action </dc:creator>
  <cp:keywords>Barwon, Climate, Projections, Report, 2024</cp:keywords>
  <dc:description>© The State of Victoria Department of Energy, Environment and Climate Action January 2025</dc:description>
  <cp:lastModifiedBy>Jasenka Imsirovic (DEECA)</cp:lastModifiedBy>
  <cp:revision>27</cp:revision>
  <dcterms:created xsi:type="dcterms:W3CDTF">2025-02-06T00:55:00Z</dcterms:created>
  <dcterms:modified xsi:type="dcterms:W3CDTF">2025-02-07T06:18:00Z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0x0101009298E819CE1EBB4F8D2096B3E0F0C2911D00FC850083AEEAE441835EBAB16E025AFC</vt:lpwstr>
  </property>
  <property fmtid="{D5CDD505-2E9C-101B-9397-08002B2CF9AE}" pid="10" name="_dlc_DocIdItemGuid">
    <vt:lpwstr>cc86607a-0d87-4c7f-ab86-c81804d9e8b9</vt:lpwstr>
  </property>
  <property fmtid="{D5CDD505-2E9C-101B-9397-08002B2CF9AE}" pid="11" name="Dissemination Limiting Marker">
    <vt:lpwstr>3</vt:lpwstr>
  </property>
  <property fmtid="{D5CDD505-2E9C-101B-9397-08002B2CF9AE}" pid="12" name="Security Classification">
    <vt:lpwstr>2</vt:lpwstr>
  </property>
  <property fmtid="{D5CDD505-2E9C-101B-9397-08002B2CF9AE}" pid="13" name="Document Purpose">
    <vt:lpwstr>259</vt:lpwstr>
  </property>
  <property fmtid="{D5CDD505-2E9C-101B-9397-08002B2CF9AE}" pid="14" name="Project">
    <vt:lpwstr>185;#Victorian Climate Science Report 2024|6e590000-6185-449a-88ac-ccdbc929a0cc</vt:lpwstr>
  </property>
  <property fmtid="{D5CDD505-2E9C-101B-9397-08002B2CF9AE}" pid="15" name="MediaServiceImageTags">
    <vt:lpwstr/>
  </property>
  <property fmtid="{D5CDD505-2E9C-101B-9397-08002B2CF9AE}" pid="16" name="Records Class Project">
    <vt:lpwstr>140</vt:lpwstr>
  </property>
  <property fmtid="{D5CDD505-2E9C-101B-9397-08002B2CF9AE}" pid="17" name="Records_x0020_Class_x0020_Project">
    <vt:lpwstr>140</vt:lpwstr>
  </property>
  <property fmtid="{D5CDD505-2E9C-101B-9397-08002B2CF9AE}" pid="18" name="Record Purpose">
    <vt:lpwstr/>
  </property>
  <property fmtid="{D5CDD505-2E9C-101B-9397-08002B2CF9AE}" pid="19" name="Security_x0020_Classification">
    <vt:lpwstr>2</vt:lpwstr>
  </property>
  <property fmtid="{D5CDD505-2E9C-101B-9397-08002B2CF9AE}" pid="20" name="Dissemination_x0020_Limiting_x0020_Marker">
    <vt:lpwstr>3</vt:lpwstr>
  </property>
  <property fmtid="{D5CDD505-2E9C-101B-9397-08002B2CF9AE}" pid="21" name="Document_x0020_Purpose">
    <vt:lpwstr>259</vt:lpwstr>
  </property>
  <property fmtid="{D5CDD505-2E9C-101B-9397-08002B2CF9AE}" pid="22" name="Record_x0020_Purpose">
    <vt:lpwstr/>
  </property>
</Properties>
</file>